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INCREMENTO DEL BONO DE DESPENSA Y DE LA PREVISIÓN SOCIAL MÚLTIPLE DE PENSIONADOS DEL ISSSTE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pégalo como concepto de impugnación en tu demanda de nulidad. Primero confirma que la pensión se otorgó conforme a la Ley del ISSSTE vigente hasta el 31 de marzo de 2007 y localiza el texto del artículo 57 que regía en la fecha de otorgamiento; si la pensión se rige por otra norma, el fundamento cambia.</w:t>
      </w:r>
    </w:p>
    <w:p>
      <w:pPr>
        <w:spacing w:line="360" w:lineRule="auto"/>
        <w:jc w:val="both"/>
      </w:pPr>
      <w:r>
        <w:rPr>
          <w:rFonts w:ascii="Arial" w:hAnsi="Arial"/>
          <w:b w:val="0"/>
          <w:i w:val="0"/>
          <w:sz w:val="24"/>
        </w:rPr>
        <w:t>Reúne las piezas que sostienen el fondo: los recibos de pensión donde aparecen el bono de despensa y la previsión social múltiple, los oficios de la Secretaría de Hacienda y Crédito Público que autorizaron el aumento al personal operativo y una tabla con las diferencias mes por mes. Ofrécelas como pruebas, porque la sola incongruencia de la respuesta no basta para obtener el pago.</w:t>
      </w:r>
    </w:p>
    <w:p>
      <w:pPr>
        <w:spacing w:line="360" w:lineRule="auto"/>
        <w:jc w:val="both"/>
      </w:pPr>
      <w:r>
        <w:rPr>
          <w:rFonts w:ascii="Arial" w:hAnsi="Arial"/>
          <w:b w:val="0"/>
          <w:i w:val="0"/>
          <w:sz w:val="24"/>
        </w:rPr>
        <w:t>Llena los campos editables, transcribe con exactitud el pasaje de la resolución que se desvía hacia el sueldo tabular y borra la nota final antes de presentar. La demanda se presenta dentro de los treinta días siguientes a aquél en que haya surtido efectos la notificación de la resolución (artículo 13, fracción I, inciso a), de la Ley Federal de Procedimiento Contencioso Administrativo); si el asunto encuadrara en la vía sumaria, el plazo también es de treinta días (artículo 58-2, párrafo tercero).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Y FECHA DEL OFICIO IMPUGNADO]</w:t>
      </w:r>
      <w:r>
        <w:rPr>
          <w:rFonts w:ascii="Arial" w:hAnsi="Arial"/>
          <w:b w:val="0"/>
          <w:i w:val="0"/>
          <w:sz w:val="24"/>
        </w:rPr>
        <w:t>: número exacto del oficio con que el ISSSTE negó la solicitud y su fecha, tal como aparecen en el documento.</w:t>
      </w:r>
    </w:p>
    <w:p>
      <w:pPr>
        <w:spacing w:line="360" w:lineRule="auto"/>
        <w:jc w:val="both"/>
      </w:pPr>
      <w:r>
        <w:rPr>
          <w:rFonts w:ascii="Arial" w:hAnsi="Arial"/>
          <w:b/>
          <w:i w:val="0"/>
          <w:sz w:val="24"/>
        </w:rPr>
        <w:t>[AUTORIDAD DEMANDADA]</w:t>
      </w:r>
      <w:r>
        <w:rPr>
          <w:rFonts w:ascii="Arial" w:hAnsi="Arial"/>
          <w:b w:val="0"/>
          <w:i w:val="0"/>
          <w:sz w:val="24"/>
        </w:rPr>
        <w:t>: la unidad administrativa que firmó el oficio, con su denominación completa (por ejemplo, la Subdelegación de Prestaciones de la delegación que corresponda).</w:t>
      </w:r>
    </w:p>
    <w:p>
      <w:pPr>
        <w:spacing w:line="360" w:lineRule="auto"/>
        <w:jc w:val="both"/>
      </w:pPr>
      <w:r>
        <w:rPr>
          <w:rFonts w:ascii="Arial" w:hAnsi="Arial"/>
          <w:b/>
          <w:i w:val="0"/>
          <w:sz w:val="24"/>
        </w:rPr>
        <w:t>[NOMBRE DE LA PARTE ACTORA]</w:t>
      </w:r>
      <w:r>
        <w:rPr>
          <w:rFonts w:ascii="Arial" w:hAnsi="Arial"/>
          <w:b w:val="0"/>
          <w:i w:val="0"/>
          <w:sz w:val="24"/>
        </w:rPr>
        <w:t>: nombre completo de la persona pensionada.</w:t>
      </w:r>
    </w:p>
    <w:p>
      <w:pPr>
        <w:spacing w:line="360" w:lineRule="auto"/>
        <w:jc w:val="both"/>
      </w:pPr>
      <w:r>
        <w:rPr>
          <w:rFonts w:ascii="Arial" w:hAnsi="Arial"/>
          <w:b/>
          <w:i w:val="0"/>
          <w:sz w:val="24"/>
        </w:rPr>
        <w:t>[FECHA DE LA SOLICITUD]</w:t>
      </w:r>
      <w:r>
        <w:rPr>
          <w:rFonts w:ascii="Arial" w:hAnsi="Arial"/>
          <w:b w:val="0"/>
          <w:i w:val="0"/>
          <w:sz w:val="24"/>
        </w:rPr>
        <w:t>: fecha del sello de recepción del escrito en que se pidió el pago de las diferencias.</w:t>
      </w:r>
    </w:p>
    <w:p>
      <w:pPr>
        <w:spacing w:line="360" w:lineRule="auto"/>
        <w:jc w:val="both"/>
      </w:pPr>
      <w:r>
        <w:rPr>
          <w:rFonts w:ascii="Arial" w:hAnsi="Arial"/>
          <w:b/>
          <w:i w:val="0"/>
          <w:sz w:val="24"/>
        </w:rPr>
        <w:t>[OFICIOS DE AUTORIZACIÓN DE LA SHCP]</w:t>
      </w:r>
      <w:r>
        <w:rPr>
          <w:rFonts w:ascii="Arial" w:hAnsi="Arial"/>
          <w:b w:val="0"/>
          <w:i w:val="0"/>
          <w:sz w:val="24"/>
        </w:rPr>
        <w:t>: número y fecha de cada oficio de la Secretaría de Hacienda y Crédito Público que autorizó el aumento del bono de despensa y de la previsión social múltiple al personal operativo; cópialos del propio oficio, no de una sentencia.</w:t>
      </w:r>
    </w:p>
    <w:p>
      <w:pPr>
        <w:spacing w:line="360" w:lineRule="auto"/>
        <w:jc w:val="both"/>
      </w:pPr>
      <w:r>
        <w:rPr>
          <w:rFonts w:ascii="Arial" w:hAnsi="Arial"/>
          <w:b/>
          <w:i w:val="0"/>
          <w:sz w:val="24"/>
        </w:rPr>
        <w:t>[FECHA DE OTORGAMIENTO DE LA PENSIÓN]</w:t>
      </w:r>
      <w:r>
        <w:rPr>
          <w:rFonts w:ascii="Arial" w:hAnsi="Arial"/>
          <w:b w:val="0"/>
          <w:i w:val="0"/>
          <w:sz w:val="24"/>
        </w:rPr>
        <w:t>: fecha de inicio de la pensión que consta en la concesión o en los recibos; de ella depende qué texto del artículo 57 se aplica.</w:t>
      </w:r>
    </w:p>
    <w:p>
      <w:pPr>
        <w:spacing w:line="360" w:lineRule="auto"/>
        <w:jc w:val="both"/>
      </w:pPr>
      <w:r>
        <w:rPr>
          <w:rFonts w:ascii="Arial" w:hAnsi="Arial"/>
          <w:b/>
          <w:i w:val="0"/>
          <w:sz w:val="24"/>
        </w:rPr>
        <w:t>[PERIODO POR EL QUE SE RECLAMAN LAS DIFERENCIAS]</w:t>
      </w:r>
      <w:r>
        <w:rPr>
          <w:rFonts w:ascii="Arial" w:hAnsi="Arial"/>
          <w:b w:val="0"/>
          <w:i w:val="0"/>
          <w:sz w:val="24"/>
        </w:rPr>
        <w:t>: meses o años cuyas diferencias se reclaman, con fecha inicial y final.</w:t>
      </w:r>
    </w:p>
    <w:p>
      <w:pPr>
        <w:spacing w:line="360" w:lineRule="auto"/>
        <w:jc w:val="both"/>
      </w:pPr>
      <w:r>
        <w:rPr>
          <w:rFonts w:ascii="Arial" w:hAnsi="Arial"/>
          <w:b/>
          <w:i w:val="0"/>
          <w:sz w:val="24"/>
        </w:rPr>
        <w:t>[MONTOS QUE SE PERCIBEN POR CADA CONCEPTO]</w:t>
      </w:r>
      <w:r>
        <w:rPr>
          <w:rFonts w:ascii="Arial" w:hAnsi="Arial"/>
          <w:b w:val="0"/>
          <w:i w:val="0"/>
          <w:sz w:val="24"/>
        </w:rPr>
        <w:t>: cantidad mensual que se recibe por bono de despensa y por previsión social múltiple, según los recibos.</w:t>
      </w:r>
    </w:p>
    <w:p>
      <w:pPr>
        <w:spacing w:line="360" w:lineRule="auto"/>
        <w:jc w:val="both"/>
      </w:pPr>
      <w:r>
        <w:rPr>
          <w:rFonts w:ascii="Arial" w:hAnsi="Arial"/>
          <w:b/>
          <w:i w:val="0"/>
          <w:sz w:val="24"/>
        </w:rPr>
        <w:t>[MONTOS AUTORIZADOS AL PERSONAL OPERATIVO EN ACTIVO]</w:t>
      </w:r>
      <w:r>
        <w:rPr>
          <w:rFonts w:ascii="Arial" w:hAnsi="Arial"/>
          <w:b w:val="0"/>
          <w:i w:val="0"/>
          <w:sz w:val="24"/>
        </w:rPr>
        <w:t>: cantidades que cada oficio de autorización fijó para el personal operativo en activo, por concepto y por ejercicio.</w:t>
      </w:r>
    </w:p>
    <w:p>
      <w:pPr>
        <w:spacing w:line="360" w:lineRule="auto"/>
        <w:jc w:val="both"/>
      </w:pPr>
      <w:r>
        <w:rPr>
          <w:rFonts w:ascii="Arial" w:hAnsi="Arial"/>
          <w:b/>
          <w:i w:val="0"/>
          <w:sz w:val="24"/>
        </w:rPr>
        <w:t>[DOCUMENTOS QUE ACREDITAN EL PAGO DE LOS CONCEPTOS]</w:t>
      </w:r>
      <w:r>
        <w:rPr>
          <w:rFonts w:ascii="Arial" w:hAnsi="Arial"/>
          <w:b w:val="0"/>
          <w:i w:val="0"/>
          <w:sz w:val="24"/>
        </w:rPr>
        <w:t>: los recibos o comprobantes de pago de la pensión que se exhiben, con sus meses y, de ser posible, en original o copia certificada.</w:t>
      </w:r>
    </w:p>
    <w:p>
      <w:pPr>
        <w:spacing w:line="360" w:lineRule="auto"/>
        <w:jc w:val="both"/>
      </w:pPr>
      <w:r>
        <w:rPr>
          <w:rFonts w:ascii="Arial" w:hAnsi="Arial"/>
          <w:b/>
          <w:i w:val="0"/>
          <w:sz w:val="24"/>
        </w:rPr>
        <w:t>[CLAVES DE LOS CONCEPTOS EN EL RECIBO]</w:t>
      </w:r>
      <w:r>
        <w:rPr>
          <w:rFonts w:ascii="Arial" w:hAnsi="Arial"/>
          <w:b w:val="0"/>
          <w:i w:val="0"/>
          <w:sz w:val="24"/>
        </w:rPr>
        <w:t>: claves con que el recibo identifica cada prestación (en el caso que inspira el machote eran 02 y 03; verifica las del tuyo).</w:t>
      </w:r>
    </w:p>
    <w:p>
      <w:pPr>
        <w:spacing w:line="360" w:lineRule="auto"/>
        <w:jc w:val="both"/>
      </w:pPr>
      <w:r>
        <w:rPr>
          <w:rFonts w:ascii="Arial" w:hAnsi="Arial"/>
          <w:b/>
          <w:i w:val="0"/>
          <w:sz w:val="24"/>
        </w:rPr>
        <w:t>[PASAJE DE LA RESOLUCIÓN IMPUGNADA QUE ALUDE AL SUELDO TABULAR]</w:t>
      </w:r>
      <w:r>
        <w:rPr>
          <w:rFonts w:ascii="Arial" w:hAnsi="Arial"/>
          <w:b w:val="0"/>
          <w:i w:val="0"/>
          <w:sz w:val="24"/>
        </w:rPr>
        <w:t>: transcripción literal del párrafo del oficio en que la autoridad razona sobre el sueldo tabular o el artículo 15; si razonó sobre otro tema ajeno, transcribe ese y ajusta el párrafo.</w:t>
      </w:r>
    </w:p>
    <w:p/>
    <w:p>
      <w:pPr>
        <w:spacing w:line="360" w:lineRule="auto"/>
        <w:jc w:val="both"/>
      </w:pPr>
      <w:r>
        <w:rPr>
          <w:rFonts w:ascii="Arial" w:hAnsi="Arial"/>
          <w:b/>
          <w:sz w:val="28"/>
        </w:rPr>
        <w:t>[NÚMERO ORDINAL DEL CONCEPTO] CONCEPTO DE IMPUGNACIÓN. La resolución que niega el incremento del bono de despensa y de la previsión social múltiple que se pagan con la pensión contesta una petición que nunca se formuló: sustituye el aumento proporcional de esas prestaciones, regido por el artículo 57, último párrafo, de la Ley del ISSSTE vigente hasta el 31 de marzo de 2007, por la integración del sueldo tabular, y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Y FECHA DEL OFICIO IMPUGNADO]</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negó a </w:t>
      </w:r>
      <w:r>
        <w:rPr>
          <w:rFonts w:ascii="Arial" w:hAnsi="Arial"/>
          <w:b/>
          <w:i w:val="0"/>
          <w:sz w:val="28"/>
        </w:rPr>
        <w:t>[NOMBRE DE LA PARTE ACTORA]</w:t>
      </w:r>
      <w:r>
        <w:rPr>
          <w:rFonts w:ascii="Arial" w:hAnsi="Arial"/>
          <w:b w:val="0"/>
          <w:i w:val="0"/>
          <w:sz w:val="28"/>
        </w:rPr>
        <w:t xml:space="preserve"> el pago de las diferencias del bono de despensa y de la previsión social múltiple que percibe con su pensión, con base en razones que responden a una cuestión distinta de la que se le planteó.</w:t>
      </w:r>
    </w:p>
    <w:p>
      <w:pPr>
        <w:spacing w:line="360" w:lineRule="auto"/>
        <w:jc w:val="both"/>
      </w:pPr>
      <w:r>
        <w:rPr>
          <w:rFonts w:ascii="Arial" w:hAnsi="Arial"/>
          <w:b w:val="0"/>
          <w:i w:val="0"/>
          <w:sz w:val="28"/>
        </w:rPr>
        <w:t>La persona pensionada pidió que esas dos prestaciones, que el propio Instituto le reconoció y le paga desde que obtuvo la pensión, se incrementaran en la proporción en que la Secretaría de Hacienda y Crédito Público las aumentó al personal operativo en activo. La autoridad contestó que se trata de conceptos adicionales al sueldo tabular que no encuadran en el artículo 15 de la ley, tema que nadie sometió a su decisión.</w:t>
      </w:r>
    </w:p>
    <w:p>
      <w:pPr>
        <w:spacing w:line="360" w:lineRule="auto"/>
        <w:jc w:val="both"/>
      </w:pPr>
      <w:r>
        <w:rPr>
          <w:rFonts w:ascii="Arial" w:hAnsi="Arial"/>
          <w:b w:val="0"/>
          <w:i w:val="0"/>
          <w:sz w:val="28"/>
        </w:rPr>
        <w:t>Con esa sustitución la autoridad dejó de aplicar la norma que regía la petición y aplicó otra ajena a ella, hipótesis de la fracción IV del artículo 51 de la Ley Federal de Procedimiento Contencioso Administrativo. Como además la parte actora demuestra los hechos de los que deriva su derecho, procede declarar la nulidad, reconocer ese derecho y condenar al pago de las diferencias.</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Y FECHA DEL OFICIO IMPUGNADO]</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declaró improcedente la solicitud que la parte actora presentó el </w:t>
      </w:r>
      <w:r>
        <w:rPr>
          <w:rFonts w:ascii="Arial" w:hAnsi="Arial"/>
          <w:b/>
          <w:i w:val="0"/>
          <w:sz w:val="28"/>
        </w:rPr>
        <w:t>[FECHA DE LA SOLICITUD]</w:t>
      </w:r>
      <w:r>
        <w:rPr>
          <w:rFonts w:ascii="Arial" w:hAnsi="Arial"/>
          <w:b w:val="0"/>
          <w:i w:val="0"/>
          <w:sz w:val="28"/>
        </w:rPr>
        <w:t xml:space="preserve">, en la que reclamó el pago de las diferencias del bono de despensa y de la previsión social múltiple derivadas de los oficios </w:t>
      </w:r>
      <w:r>
        <w:rPr>
          <w:rFonts w:ascii="Arial" w:hAnsi="Arial"/>
          <w:b/>
          <w:i w:val="0"/>
          <w:sz w:val="28"/>
        </w:rPr>
        <w:t>[OFICIOS DE AUTORIZACIÓN DE LA SHCP]</w:t>
      </w:r>
      <w:r>
        <w:rPr>
          <w:rFonts w:ascii="Arial" w:hAnsi="Arial"/>
          <w:b w:val="0"/>
          <w:i w:val="0"/>
          <w:sz w:val="28"/>
        </w:rPr>
        <w:t>.</w:t>
      </w:r>
    </w:p>
    <w:p>
      <w:pPr>
        <w:spacing w:line="360" w:lineRule="auto"/>
        <w:jc w:val="both"/>
      </w:pPr>
      <w:r>
        <w:rPr>
          <w:rFonts w:ascii="Arial" w:hAnsi="Arial"/>
          <w:b w:val="0"/>
          <w:i w:val="0"/>
          <w:sz w:val="28"/>
        </w:rPr>
        <w:t xml:space="preserve">Las normas cuya inobservancia se plantea son el artículo 57, último párrafo, de la Ley del Instituto de Seguridad y Servicios Sociales de los Trabajadores del Estado, en el texto vigente cuando se otorgó la pensión el </w:t>
      </w:r>
      <w:r>
        <w:rPr>
          <w:rFonts w:ascii="Arial" w:hAnsi="Arial"/>
          <w:b/>
          <w:i w:val="0"/>
          <w:sz w:val="28"/>
        </w:rPr>
        <w:t>[FECHA DE OTORGAMIENTO DE LA PENSIÓN]</w:t>
      </w:r>
      <w:r>
        <w:rPr>
          <w:rFonts w:ascii="Arial" w:hAnsi="Arial"/>
          <w:b w:val="0"/>
          <w:i w:val="0"/>
          <w:sz w:val="28"/>
        </w:rPr>
        <w:t>; el último párrafo del artículo 43 del Reglamento para el Otorgamiento de Pensiones de los Trabajadores Sujetos al Artículo Décimo Transitorio del Decreto por el que se Expide la Ley del Instituto de Seguridad y Servicios Sociales de los Trabajadores del Estado; y los artículos 8o. y 16, párrafo primero, constitucionales.</w:t>
      </w:r>
    </w:p>
    <w:p>
      <w:pPr>
        <w:spacing w:line="360" w:lineRule="auto"/>
        <w:jc w:val="both"/>
      </w:pPr>
      <w:r>
        <w:rPr>
          <w:rFonts w:ascii="Arial" w:hAnsi="Arial"/>
          <w:b w:val="0"/>
          <w:i w:val="0"/>
          <w:sz w:val="28"/>
        </w:rPr>
        <w:t xml:space="preserve">El perjuicio es actual y se renueva con cada pago mensual, ya que durante </w:t>
      </w:r>
      <w:r>
        <w:rPr>
          <w:rFonts w:ascii="Arial" w:hAnsi="Arial"/>
          <w:b/>
          <w:i w:val="0"/>
          <w:sz w:val="28"/>
        </w:rPr>
        <w:t>[PERIODO POR EL QUE SE RECLAMAN LAS DIFERENCIAS]</w:t>
      </w:r>
      <w:r>
        <w:rPr>
          <w:rFonts w:ascii="Arial" w:hAnsi="Arial"/>
          <w:b w:val="0"/>
          <w:i w:val="0"/>
          <w:sz w:val="28"/>
        </w:rPr>
        <w:t xml:space="preserve"> la parte actora ha recibido por esos conceptos </w:t>
      </w:r>
      <w:r>
        <w:rPr>
          <w:rFonts w:ascii="Arial" w:hAnsi="Arial"/>
          <w:b/>
          <w:i w:val="0"/>
          <w:sz w:val="28"/>
        </w:rPr>
        <w:t>[MONTOS QUE SE PERCIBEN POR CADA CONCEPTO]</w:t>
      </w:r>
      <w:r>
        <w:rPr>
          <w:rFonts w:ascii="Arial" w:hAnsi="Arial"/>
          <w:b w:val="0"/>
          <w:i w:val="0"/>
          <w:sz w:val="28"/>
        </w:rPr>
        <w:t xml:space="preserve">, mientras que al personal operativo en activo se le autorizaron </w:t>
      </w:r>
      <w:r>
        <w:rPr>
          <w:rFonts w:ascii="Arial" w:hAnsi="Arial"/>
          <w:b/>
          <w:i w:val="0"/>
          <w:sz w:val="28"/>
        </w:rPr>
        <w:t>[MONTOS AUTORIZADOS AL PERSONAL OPERATIVO EN ACTIVO]</w:t>
      </w:r>
      <w:r>
        <w:rPr>
          <w:rFonts w:ascii="Arial" w:hAnsi="Arial"/>
          <w:b w:val="0"/>
          <w:i w:val="0"/>
          <w:sz w:val="28"/>
        </w:rPr>
        <w:t>; la diferencia se acumula mes con mes y merma una prestación de seguridad social destinada a sostener el ingreso de quien ya no trabaja.</w:t>
      </w:r>
    </w:p>
    <w:p>
      <w:pPr>
        <w:spacing w:line="360" w:lineRule="auto"/>
        <w:jc w:val="both"/>
      </w:pPr>
      <w:r>
        <w:rPr>
          <w:rFonts w:ascii="Arial" w:hAnsi="Arial"/>
          <w:b w:val="0"/>
          <w:i w:val="0"/>
          <w:sz w:val="28"/>
        </w:rPr>
        <w:t>Conviene precisar el alcance de la pretensión, porque en esa precisión descansa el concepto: la parte actora no pide que el bono de despensa y la previsión social múltiple se sumen a su cuota diaria de pensión, ni controvierte el sueldo con que ésta se calculó, ni pretende que esas prestaciones integren la base de cotización; pide únicamente que las prestaciones que ya recibe crezcan en la proporción en que crecieron para el personal en activo.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la regla sustantiva: el artículo 57 de la Ley del Instituto de Seguridad y Servicios Sociales de los Trabajadores del Estado vigente hasta el 31 de marzo de 2007, después de regular la gratificación anual, dispone en su último párrafo que los jubilados y pensionados </w:t>
      </w:r>
      <w:r>
        <w:rPr>
          <w:rFonts w:ascii="Arial" w:hAnsi="Arial"/>
          <w:b w:val="0"/>
          <w:i/>
          <w:sz w:val="28"/>
        </w:rPr>
        <w:t>“tendrán derecho en su proporción, a las prestaciones en dinero que les sean aumentadas de manera general a los trabajadores en activo siempre y cuando resulten compatibles a los pensionados”</w:t>
      </w:r>
      <w:r>
        <w:rPr>
          <w:rFonts w:ascii="Arial" w:hAnsi="Arial"/>
          <w:b w:val="0"/>
          <w:i w:val="0"/>
          <w:sz w:val="28"/>
        </w:rPr>
        <w:t>.</w:t>
      </w:r>
    </w:p>
    <w:p>
      <w:pPr>
        <w:spacing w:line="360" w:lineRule="auto"/>
        <w:jc w:val="both"/>
      </w:pPr>
      <w:r>
        <w:rPr>
          <w:rFonts w:ascii="Arial" w:hAnsi="Arial"/>
          <w:b w:val="0"/>
          <w:i w:val="0"/>
          <w:sz w:val="28"/>
        </w:rPr>
        <w:t>La norma sujeta el derecho a dos requisitos y a ningún otro: que la prestación en dinero se haya aumentado de manera general a los trabajadores en activo y que resulte compatible con la condición de pensionado. Los mismos dos requisitos aparecen en el último párrafo del artículo 43 del reglamento citado, de modo que la norma legal y la reglamentaria coinciden en el examen que la autoridad debía practicar.</w:t>
      </w:r>
    </w:p>
    <w:p>
      <w:pPr>
        <w:spacing w:line="360" w:lineRule="auto"/>
        <w:jc w:val="both"/>
      </w:pPr>
      <w:r>
        <w:rPr>
          <w:rFonts w:ascii="Arial" w:hAnsi="Arial"/>
          <w:b w:val="0"/>
          <w:i w:val="0"/>
          <w:sz w:val="28"/>
        </w:rPr>
        <w:t>Esa regla sigue rigiendo la pensión aunque la ley que la contenía se haya abrogado, porque el artículo Décimo Octavo transitorio del decreto por el que se expidió la ley en vigor a partir del 1 de abril de 2007 dispone que los jubilados y pensionados que a esa fecha gozaban de los beneficios de la ley abrogada continuarán ejerciendo sus derechos en los términos y condiciones de las disposiciones vigentes al momento de su otorgamiento.</w:t>
      </w:r>
    </w:p>
    <w:p>
      <w:pPr>
        <w:spacing w:line="360" w:lineRule="auto"/>
        <w:jc w:val="both"/>
      </w:pPr>
      <w:r>
        <w:rPr>
          <w:rFonts w:ascii="Arial" w:hAnsi="Arial"/>
          <w:b w:val="0"/>
          <w:i w:val="0"/>
          <w:sz w:val="28"/>
        </w:rPr>
        <w:t>La razón de esa ultractividad es la protección de lo que ya se incorporó al patrimonio de su titular. La teoría de la interpretación reconduce el principio de irretroactividad de la ley a tres finalidades: la estabilidad de las relaciones ya establecidas, la tutela de los derechos adquiridos y la previsibilidad, para todos, de las consecuencias jurídicas de sus actos.</w:t>
      </w:r>
      <w:r>
        <w:rPr>
          <w:rFonts w:ascii="Arial" w:hAnsi="Arial"/>
          <w:vertAlign w:val="superscript"/>
        </w:rPr>
        <w:t>1</w:t>
      </w:r>
      <w:r>
        <w:rPr>
          <w:rFonts w:ascii="Arial" w:hAnsi="Arial"/>
          <w:b w:val="0"/>
          <w:i w:val="0"/>
          <w:sz w:val="28"/>
        </w:rPr>
        <w:t xml:space="preserve"> El artículo 14, párrafo primero, constitucional recoge ese principio al prohibir que se dé a ley alguna efecto retroactivo en perjuicio de persona alguna.</w:t>
      </w:r>
    </w:p>
    <w:p>
      <w:pPr>
        <w:spacing w:line="360" w:lineRule="auto"/>
        <w:jc w:val="both"/>
      </w:pPr>
      <w:r>
        <w:rPr>
          <w:rFonts w:ascii="Arial" w:hAnsi="Arial"/>
          <w:b w:val="0"/>
          <w:i w:val="0"/>
          <w:sz w:val="28"/>
        </w:rPr>
        <w:t>Sobre la forma de la respuesta rigen dos mandatos constitucionales que operan juntos: el artículo 8o. ordena que a toda petición recaiga un acuerdo escrito de la autoridad a quien se dirigió, y el artículo 16, párrafo primero, exige que todo acto de molestia funde y motive la causa legal del procedimiento. Un acuerdo que decide algo diverso de lo pedido deja la petición sin respuesta, aunque ostente la forma de una resolución.</w:t>
      </w:r>
    </w:p>
    <w:p>
      <w:pPr>
        <w:spacing w:line="360" w:lineRule="auto"/>
        <w:jc w:val="both"/>
      </w:pPr>
      <w:r>
        <w:rPr>
          <w:rFonts w:ascii="Arial" w:hAnsi="Arial"/>
          <w:b w:val="0"/>
          <w:i w:val="0"/>
          <w:sz w:val="28"/>
        </w:rPr>
        <w:t>La motivación cumple, además, una función que la vuelve controlable. La doctrina procesal la concibe como un discurso justificativo constituido por argumentos racionales, cuya tarea consiste en justificar racionalmente la decisión adoptada.</w:t>
      </w:r>
      <w:r>
        <w:rPr>
          <w:rFonts w:ascii="Arial" w:hAnsi="Arial"/>
          <w:vertAlign w:val="superscript"/>
        </w:rPr>
        <w:t>2</w:t>
      </w:r>
      <w:r>
        <w:rPr>
          <w:rFonts w:ascii="Arial" w:hAnsi="Arial"/>
          <w:b w:val="0"/>
          <w:i w:val="0"/>
          <w:sz w:val="28"/>
        </w:rPr>
        <w:t xml:space="preserve"> Una justificación sólo puede serlo de la decisión tomada sobre la cuestión planteada, de modo que las razones más pulcras sobre un tema ajeno dejan sin justificar la negativa de lo que realmente se pidió.</w:t>
      </w:r>
    </w:p>
    <w:p>
      <w:pPr>
        <w:spacing w:line="360" w:lineRule="auto"/>
        <w:jc w:val="both"/>
      </w:pPr>
      <w:r>
        <w:rPr>
          <w:rFonts w:ascii="Arial" w:hAnsi="Arial"/>
          <w:b w:val="0"/>
          <w:i w:val="0"/>
          <w:sz w:val="28"/>
        </w:rPr>
        <w:t>El juicio contencioso administrativo federal ofrece a la persona pensionada el cauce para obtener, además de la anulación del acto, el reconocimiento de su derecho. El artículo 50 de la Ley Federal de Procedimiento Contencioso Administrativo manda resolver sobre la pretensión que se deduzca de la demanda y, cuando la sentencia condene a restituir un derecho subjetivo, exige constatar ese derecho además de la ilegalidad de la resolución impugnada.</w:t>
      </w:r>
    </w:p>
    <w:p>
      <w:pPr>
        <w:spacing w:line="360" w:lineRule="auto"/>
        <w:jc w:val="both"/>
      </w:pPr>
      <w:r>
        <w:rPr>
          <w:rFonts w:ascii="Arial" w:hAnsi="Arial"/>
          <w:b w:val="0"/>
          <w:i w:val="0"/>
          <w:sz w:val="28"/>
        </w:rPr>
        <w:t>Correlativamente, el artículo 40 de esa ley impone a la persona actora que pretende el reconocimiento de un derecho subjetivo la carga de probar los hechos de los que deriva, y el artículo 52, fracción V, incisos a) y b), faculta al Tribunal para declarar la nulidad, reconocer a la actora la existencia del derecho y condenar al cumplimiento de la obligación correlativa, o restituirla en el goce de los derechos afectados.</w:t>
      </w:r>
    </w:p>
    <w:p>
      <w:pPr>
        <w:spacing w:line="360" w:lineRule="auto"/>
        <w:jc w:val="both"/>
      </w:pPr>
      <w:r>
        <w:rPr>
          <w:rFonts w:ascii="Arial" w:hAnsi="Arial"/>
          <w:b w:val="0"/>
          <w:i w:val="0"/>
          <w:sz w:val="28"/>
        </w:rPr>
        <w:t>Como lo advirtió una Sala Regional de este Tribunal en un caso análogo, la sola desviación de la respuesta no basta para colmar la pretensión de quien pide un incremento, porque además debe acreditarse el fondo de la solicitud. Por eso este concepto se construye en dos tramos, el vicio de la respuesta y la demostración del derecho, a fin de que la Sala cuente con lo necesario para pronunciarse sobre ambos.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están acreditados con documentos, pues la parte actora es pensionada del Instituto desde el </w:t>
      </w:r>
      <w:r>
        <w:rPr>
          <w:rFonts w:ascii="Arial" w:hAnsi="Arial"/>
          <w:b/>
          <w:i w:val="0"/>
          <w:sz w:val="28"/>
        </w:rPr>
        <w:t>[FECHA DE OTORGAMIENTO DE LA PENSIÓN]</w:t>
      </w:r>
      <w:r>
        <w:rPr>
          <w:rFonts w:ascii="Arial" w:hAnsi="Arial"/>
          <w:b w:val="0"/>
          <w:i w:val="0"/>
          <w:sz w:val="28"/>
        </w:rPr>
        <w:t xml:space="preserve"> y, como consta en </w:t>
      </w:r>
      <w:r>
        <w:rPr>
          <w:rFonts w:ascii="Arial" w:hAnsi="Arial"/>
          <w:b/>
          <w:i w:val="0"/>
          <w:sz w:val="28"/>
        </w:rPr>
        <w:t>[DOCUMENTOS QUE ACREDITAN EL PAGO DE LOS CONCEPTOS]</w:t>
      </w:r>
      <w:r>
        <w:rPr>
          <w:rFonts w:ascii="Arial" w:hAnsi="Arial"/>
          <w:b w:val="0"/>
          <w:i w:val="0"/>
          <w:sz w:val="28"/>
        </w:rPr>
        <w:t xml:space="preserve">, recibe con cada pago de su pensión, además de la cuota pensionaria, los conceptos identificados con las claves </w:t>
      </w:r>
      <w:r>
        <w:rPr>
          <w:rFonts w:ascii="Arial" w:hAnsi="Arial"/>
          <w:b/>
          <w:i w:val="0"/>
          <w:sz w:val="28"/>
        </w:rPr>
        <w:t>[CLAVES DE LOS CONCEPTOS EN EL RECIBO]</w:t>
      </w:r>
      <w:r>
        <w:rPr>
          <w:rFonts w:ascii="Arial" w:hAnsi="Arial"/>
          <w:b w:val="0"/>
          <w:i w:val="0"/>
          <w:sz w:val="28"/>
        </w:rPr>
        <w:t>, que corresponden al bono de despensa y a la previsión social múltiple.</w:t>
      </w:r>
    </w:p>
    <w:p>
      <w:pPr>
        <w:spacing w:line="360" w:lineRule="auto"/>
        <w:jc w:val="both"/>
      </w:pPr>
      <w:r>
        <w:rPr>
          <w:rFonts w:ascii="Arial" w:hAnsi="Arial"/>
          <w:b w:val="0"/>
          <w:i w:val="0"/>
          <w:sz w:val="28"/>
        </w:rPr>
        <w:t xml:space="preserve">Por su parte, en los oficios </w:t>
      </w:r>
      <w:r>
        <w:rPr>
          <w:rFonts w:ascii="Arial" w:hAnsi="Arial"/>
          <w:b/>
          <w:i w:val="0"/>
          <w:sz w:val="28"/>
        </w:rPr>
        <w:t>[OFICIOS DE AUTORIZACIÓN DE LA SHCP]</w:t>
      </w:r>
      <w:r>
        <w:rPr>
          <w:rFonts w:ascii="Arial" w:hAnsi="Arial"/>
          <w:b w:val="0"/>
          <w:i w:val="0"/>
          <w:sz w:val="28"/>
        </w:rPr>
        <w:t>, la Secretaría de Hacienda y Crédito Público autorizó a las dependencias y entidades de la Administración Pública Federal el pago de esas dos prestaciones a su personal operativo, en montos superiores a los que la parte actora sigue percibiendo, y de esa distancia nacen las diferencias que se reclaman.</w:t>
      </w:r>
    </w:p>
    <w:p>
      <w:pPr>
        <w:spacing w:line="360" w:lineRule="auto"/>
        <w:jc w:val="both"/>
      </w:pPr>
      <w:r>
        <w:rPr>
          <w:rFonts w:ascii="Arial" w:hAnsi="Arial"/>
          <w:b w:val="0"/>
          <w:i w:val="0"/>
          <w:sz w:val="28"/>
        </w:rPr>
        <w:t xml:space="preserve">Frente a esa petición, la autoridad resolvió que los conceptos reclamados son prestaciones adicionales al sueldo tabular, que no encuadran en el artículo 15 de la ley y que sólo el sueldo tabular se considera para que las dependencias y entidades enteren cuotas y aportaciones, como se lee en el pasaje que dice: </w:t>
      </w:r>
      <w:r>
        <w:rPr>
          <w:rFonts w:ascii="Arial" w:hAnsi="Arial"/>
          <w:b w:val="0"/>
          <w:i/>
          <w:sz w:val="28"/>
        </w:rPr>
        <w:t>“[PASAJE DE LA RESOLUCIÓN IMPUGNADA QUE ALUDE AL SUELDO TABULAR]”</w:t>
      </w:r>
      <w:r>
        <w:rPr>
          <w:rFonts w:ascii="Arial" w:hAnsi="Arial"/>
          <w:b w:val="0"/>
          <w:i w:val="0"/>
          <w:sz w:val="28"/>
        </w:rPr>
        <w:t>. Ninguna de esas afirmaciones contesta lo que se pidió.</w:t>
      </w:r>
    </w:p>
    <w:p>
      <w:pPr>
        <w:spacing w:line="360" w:lineRule="auto"/>
        <w:jc w:val="both"/>
      </w:pPr>
      <w:r>
        <w:rPr>
          <w:rFonts w:ascii="Arial" w:hAnsi="Arial"/>
          <w:b w:val="0"/>
          <w:i w:val="0"/>
          <w:sz w:val="28"/>
        </w:rPr>
        <w:t>El primer vicio lógico es la falacia del muñeco de paja, que consiste en deformar la tesis del contrincante para atacarla con ventaja, de modo que primero se altera la posición ajena y después se refuta la versión alterada.</w:t>
      </w:r>
      <w:r>
        <w:rPr>
          <w:rFonts w:ascii="Arial" w:hAnsi="Arial"/>
          <w:vertAlign w:val="superscript"/>
        </w:rPr>
        <w:t>3</w:t>
      </w:r>
      <w:r>
        <w:rPr>
          <w:rFonts w:ascii="Arial" w:hAnsi="Arial"/>
          <w:b w:val="0"/>
          <w:i w:val="0"/>
          <w:sz w:val="28"/>
        </w:rPr>
        <w:t xml:space="preserve"> La autoridad convirtió una solicitud de incremento de prestaciones ya pagadas en una pretensión de integrarlas al sueldo tabular, y negó esta última.</w:t>
      </w:r>
    </w:p>
    <w:p>
      <w:pPr>
        <w:spacing w:line="360" w:lineRule="auto"/>
        <w:jc w:val="both"/>
      </w:pPr>
      <w:r>
        <w:rPr>
          <w:rFonts w:ascii="Arial" w:hAnsi="Arial"/>
          <w:b w:val="0"/>
          <w:i w:val="0"/>
          <w:sz w:val="28"/>
        </w:rPr>
        <w:t>La versión deformada resulta más fácil de derribar, porque la integración del sueldo que sirve de base a las cuotas y aportaciones sí está acotada por el artículo 15 de la ley. La petición real, en cambio, sólo podía resolverse examinando si las prestaciones se aumentaron de manera general al personal en activo y si son compatibles con la condición de pensionado, examen que la resolución omitió.</w:t>
      </w:r>
    </w:p>
    <w:p>
      <w:pPr>
        <w:spacing w:line="360" w:lineRule="auto"/>
        <w:jc w:val="both"/>
      </w:pPr>
      <w:r>
        <w:rPr>
          <w:rFonts w:ascii="Arial" w:hAnsi="Arial"/>
          <w:b w:val="0"/>
          <w:i w:val="0"/>
          <w:sz w:val="28"/>
        </w:rPr>
        <w:t>El segundo vicio es una ignoratio elenchi o conclusión inatinente, error de quien emplea un razonamiento dirigido a establecer cierta conclusión para probar otra distinta y responde así a algo diverso de lo que está en cuestión.</w:t>
      </w:r>
      <w:r>
        <w:rPr>
          <w:rFonts w:ascii="Arial" w:hAnsi="Arial"/>
          <w:vertAlign w:val="superscript"/>
        </w:rPr>
        <w:t>4</w:t>
      </w:r>
      <w:r>
        <w:rPr>
          <w:rFonts w:ascii="Arial" w:hAnsi="Arial"/>
          <w:b w:val="0"/>
          <w:i w:val="0"/>
          <w:sz w:val="28"/>
        </w:rPr>
        <w:t xml:space="preserve"> Aun si fuera exacto que las prestaciones adicionales no integran el sueldo tabular, esa premisa carece de relación con el derecho a su incremento.</w:t>
      </w:r>
    </w:p>
    <w:p>
      <w:pPr>
        <w:spacing w:line="360" w:lineRule="auto"/>
        <w:jc w:val="both"/>
      </w:pPr>
      <w:r>
        <w:rPr>
          <w:rFonts w:ascii="Arial" w:hAnsi="Arial"/>
          <w:b w:val="0"/>
          <w:i w:val="0"/>
          <w:sz w:val="28"/>
        </w:rPr>
        <w:t>La estructura del error queda a la vista: la premisa de la autoridad versa sobre la base de cotización, y la conclusión que extrae niega el aumento de una prestación cuyo monto no depende de esa base; entre una y otra falta el eslabón que el artículo 57, último párrafo, obligaba a examinar, y sin él la negativa carece de justificación.</w:t>
      </w:r>
    </w:p>
    <w:p>
      <w:pPr>
        <w:spacing w:line="360" w:lineRule="auto"/>
        <w:jc w:val="both"/>
      </w:pPr>
      <w:r>
        <w:rPr>
          <w:rFonts w:ascii="Arial" w:hAnsi="Arial"/>
          <w:b w:val="0"/>
          <w:i w:val="0"/>
          <w:sz w:val="28"/>
        </w:rPr>
        <w:t>El razonamiento correcto estaba a la mano, pues correspondía a la autoridad verificar si la Secretaría de Hacienda y Crédito Público aumentó el bono de despensa y la previsión social múltiple de manera general al personal en activo del nivel que corresponde a la parte actora y si esas prestaciones son compatibles con su condición de pensionada; demostrados ambos extremos, procedía el incremento proporcional.</w:t>
      </w:r>
    </w:p>
    <w:p>
      <w:pPr>
        <w:spacing w:line="360" w:lineRule="auto"/>
        <w:jc w:val="both"/>
      </w:pPr>
      <w:r>
        <w:rPr>
          <w:rFonts w:ascii="Arial" w:hAnsi="Arial"/>
          <w:b w:val="0"/>
          <w:i w:val="0"/>
          <w:sz w:val="28"/>
        </w:rPr>
        <w:t>La consecuencia jurídica es directa: al resolver sobre la integración del sueldo tabular, la autoridad apreció en forma equivocada los hechos que motivaron la resolución, porque atribuyó a la solicitud un contenido que no tenía; aplicó el artículo 15 de la ley, que no rige lo pedido; y dejó de aplicar el artículo 57, último párrafo, que sí lo rige. Las tres hipótesis caben en la fracción IV del artículo 51 de la ley procesal.</w:t>
      </w:r>
    </w:p>
    <w:p>
      <w:pPr>
        <w:spacing w:line="360" w:lineRule="auto"/>
        <w:jc w:val="both"/>
      </w:pPr>
      <w:r>
        <w:rPr>
          <w:rFonts w:ascii="Arial" w:hAnsi="Arial"/>
          <w:b w:val="0"/>
          <w:i w:val="0"/>
          <w:sz w:val="28"/>
        </w:rPr>
        <w:t>Por la misma razón, la resolución vulnera los artículos 8o. y 16 constitucionales, porque la petición de la parte actora continúa sin un acuerdo que la resuelva y la motivación ofrecida carece de adecuación con el caso, al referirse las razones expresadas a un supuesto distinto del que la persona pensionada sometió a la autoridad.</w:t>
      </w:r>
    </w:p>
    <w:p>
      <w:pPr>
        <w:spacing w:line="360" w:lineRule="auto"/>
        <w:jc w:val="both"/>
      </w:pPr>
      <w:r>
        <w:rPr>
          <w:rFonts w:ascii="Arial" w:hAnsi="Arial"/>
          <w:b w:val="0"/>
          <w:i w:val="0"/>
          <w:sz w:val="28"/>
        </w:rPr>
        <w:t>En cuanto al fondo, los dos requisitos están satisfechos, y el primero se acredita con los propios oficios de autorización, que extienden el aumento al personal operativo de las dependencias y entidades que en ellos se precisan, sin distinguir entre unas y otras plazas de ese nivel, de suerte que el aumento es general dentro de la categoría de personal a la que las prestaciones están destinadas.</w:t>
      </w:r>
    </w:p>
    <w:p>
      <w:pPr>
        <w:spacing w:line="360" w:lineRule="auto"/>
        <w:jc w:val="both"/>
      </w:pPr>
      <w:r>
        <w:rPr>
          <w:rFonts w:ascii="Arial" w:hAnsi="Arial"/>
          <w:b w:val="0"/>
          <w:i w:val="0"/>
          <w:sz w:val="28"/>
        </w:rPr>
        <w:t>El segundo se demuestra con la conducta del propio Instituto: si reconoció el bono de despensa y la previsión social múltiple como parte de la pensión y los paga de manera regular, admitió que esas prestaciones son compatibles con la condición de pensionada. Como lo ha reconocido una Sala Regional de este Tribunal en un caso análogo, ese reconocimiento acredita también que la persona pensionada tiene la calidad de personal operativo para efectos del incremento.</w:t>
      </w:r>
    </w:p>
    <w:p>
      <w:pPr>
        <w:spacing w:line="360" w:lineRule="auto"/>
        <w:jc w:val="both"/>
      </w:pPr>
      <w:r>
        <w:rPr>
          <w:rFonts w:ascii="Arial" w:hAnsi="Arial"/>
          <w:b w:val="0"/>
          <w:i w:val="0"/>
          <w:sz w:val="28"/>
        </w:rPr>
        <w:t>Es previsible que la autoridad sostenga, al contestar, que el aumento carece de generalidad porque sólo alcanza al personal operativo y excluye al de mando, al de enlace y al militar. Ese argumento incurre en la falacia de ambigüedad o del equívoco, que se produce cuando en un mismo argumento se emplean palabras o frases en más de un sentido.</w:t>
      </w:r>
      <w:r>
        <w:rPr>
          <w:rFonts w:ascii="Arial" w:hAnsi="Arial"/>
          <w:vertAlign w:val="superscript"/>
        </w:rPr>
        <w:t>5</w:t>
      </w:r>
    </w:p>
    <w:p>
      <w:pPr>
        <w:spacing w:line="360" w:lineRule="auto"/>
        <w:jc w:val="both"/>
      </w:pPr>
      <w:r>
        <w:rPr>
          <w:rFonts w:ascii="Arial" w:hAnsi="Arial"/>
          <w:b w:val="0"/>
          <w:i w:val="0"/>
          <w:sz w:val="28"/>
        </w:rPr>
        <w:t xml:space="preserve">La expresión </w:t>
      </w:r>
      <w:r>
        <w:rPr>
          <w:rFonts w:ascii="Arial" w:hAnsi="Arial"/>
          <w:b w:val="0"/>
          <w:i/>
          <w:sz w:val="28"/>
        </w:rPr>
        <w:t>“de manera general”</w:t>
      </w:r>
      <w:r>
        <w:rPr>
          <w:rFonts w:ascii="Arial" w:hAnsi="Arial"/>
          <w:b w:val="0"/>
          <w:i w:val="0"/>
          <w:sz w:val="28"/>
        </w:rPr>
        <w:t xml:space="preserve"> se usa primero para designar el alcance del aumento dentro de la categoría a la que la prestación está destinada y luego, sin advertirlo, para exigir que abarque a todos los niveles de la administración. La norma sólo exige lo primero, y así lo entendió una Sala Regional de este Tribunal en un caso análogo, al sostener que la generalidad se mide dentro del nivel operativo y se cumple cuando la prestación se paga a todos los trabajadores de ese nivel.</w:t>
      </w:r>
    </w:p>
    <w:p>
      <w:pPr>
        <w:spacing w:line="360" w:lineRule="auto"/>
        <w:jc w:val="both"/>
      </w:pPr>
      <w:r>
        <w:rPr>
          <w:rFonts w:ascii="Arial" w:hAnsi="Arial"/>
          <w:b w:val="0"/>
          <w:i w:val="0"/>
          <w:sz w:val="28"/>
        </w:rPr>
        <w:t>También es previsible el argumento de que, con el régimen de transición de 2007, el pago de estas pensiones pasó al Gobierno Federal por conducto de la Secretaría de Hacienda y Crédito Público y el Instituto dejó de emitir los acuerdos de prestaciones adicionales. Esa defensa confunde a quien administra los recursos con la fuente del derecho, que sigue siendo la ley vigente al otorgarse la pensión.</w:t>
      </w:r>
    </w:p>
    <w:p>
      <w:pPr>
        <w:spacing w:line="360" w:lineRule="auto"/>
        <w:jc w:val="both"/>
      </w:pPr>
      <w:r>
        <w:rPr>
          <w:rFonts w:ascii="Arial" w:hAnsi="Arial"/>
          <w:b w:val="0"/>
          <w:i w:val="0"/>
          <w:sz w:val="28"/>
        </w:rPr>
        <w:t xml:space="preserve">El artículo Décimo Segundo transitorio del mismo decreto, al poner a cargo del Gobierno Federal las pensiones del régimen de transición, previó que los mecanismos de pago que éste determine por conducto de esa Secretaría </w:t>
      </w:r>
      <w:r>
        <w:rPr>
          <w:rFonts w:ascii="Arial" w:hAnsi="Arial"/>
          <w:b w:val="0"/>
          <w:i/>
          <w:sz w:val="28"/>
        </w:rPr>
        <w:t>“en ningún caso afectarán a los Trabajadores”</w:t>
      </w:r>
      <w:r>
        <w:rPr>
          <w:rFonts w:ascii="Arial" w:hAnsi="Arial"/>
          <w:b w:val="0"/>
          <w:i w:val="0"/>
          <w:sz w:val="28"/>
        </w:rPr>
        <w:t>, y el Décimo Octavo preservó los derechos de los pensionados en los términos vigentes al otorgarse. Un cambio en la oficina que paga no puede reducir el contenido del derecho que se paga.</w:t>
      </w:r>
    </w:p>
    <w:p>
      <w:pPr>
        <w:spacing w:line="360" w:lineRule="auto"/>
        <w:jc w:val="both"/>
      </w:pPr>
      <w:r>
        <w:rPr>
          <w:rFonts w:ascii="Arial" w:hAnsi="Arial"/>
          <w:b w:val="0"/>
          <w:i w:val="0"/>
          <w:sz w:val="28"/>
        </w:rPr>
        <w:t>A lo anterior se suma un obstáculo procesal, pues el artículo 22, párrafo primero, de la Ley Federal de Procedimiento Contencioso Administrativo prohíbe cambiar en la contestación de la demanda los fundamentos de derecho de la resolución impugnada, de modo que las razones que la resolución no expresó tampoco pueden sustituir, en el juicio, la motivación original cuya ilegalidad aquí se combate.</w:t>
      </w:r>
    </w:p>
    <w:p>
      <w:pPr>
        <w:spacing w:line="360" w:lineRule="auto"/>
        <w:jc w:val="both"/>
      </w:pPr>
      <w:r>
        <w:rPr>
          <w:rFonts w:ascii="Arial" w:hAnsi="Arial"/>
          <w:b w:val="0"/>
          <w:i w:val="0"/>
          <w:sz w:val="28"/>
        </w:rPr>
        <w:t>La parte actora ha cumplido la carga del artículo 40 de esa ley, pues acreditó su calidad de pensionada, la percepción regular de ambas prestaciones con su pensión, el aumento autorizado al personal operativo en activo y la falta de reflejo de ese aumento en lo que recibe. Con esos elementos, la Sala está en aptitud de constatar el derecho, como lo exige el artículo 50, además de la ilegalidad del acto.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parte actora pidió el incremento proporcional de dos prestaciones que el Instituto ya le reconoce; la autoridad contestó sobre la integración del sueldo tabular, deformó la petición y extrajo una conclusión ajena a ella; y los dos requisitos del artículo 57, último párrafo, de la ley aplicable están demostrados. La resolución se dictó en contravención de las disposiciones aplicables y dejó de aplicar las debidas.</w:t>
      </w:r>
    </w:p>
    <w:p>
      <w:pPr>
        <w:spacing w:line="360" w:lineRule="auto"/>
        <w:jc w:val="both"/>
      </w:pPr>
      <w:r>
        <w:rPr>
          <w:rFonts w:ascii="Arial" w:hAnsi="Arial"/>
          <w:b w:val="0"/>
          <w:i w:val="0"/>
          <w:sz w:val="28"/>
        </w:rPr>
        <w:t xml:space="preserve">Por lo expuesto, se solicita declarar fundado este concepto de impugnación y, con apoyo en los artículos 50, 51, fracción IV, y 52, fracción V, incisos a) y b), de la Ley Federal de Procedimiento Contencioso Administrativo, declarar la nulidad de la resolución impugnada, reconocer el derecho de la parte actora al incremento proporcional de ambas prestaciones y condenar a la autoridad a cuantificar y pagar las diferencias generadas durante </w:t>
      </w:r>
      <w:r>
        <w:rPr>
          <w:rFonts w:ascii="Arial" w:hAnsi="Arial"/>
          <w:b/>
          <w:i w:val="0"/>
          <w:sz w:val="28"/>
        </w:rPr>
        <w:t>[PERIODO POR EL QUE SE RECLAMAN LAS DIFERENCIAS]</w:t>
      </w:r>
      <w:r>
        <w:rPr>
          <w:rFonts w:ascii="Arial" w:hAnsi="Arial"/>
          <w:b w:val="0"/>
          <w:i w:val="0"/>
          <w:sz w:val="28"/>
        </w:rPr>
        <w:t>.</w:t>
      </w:r>
    </w:p>
    <w:p>
      <w:pPr>
        <w:spacing w:line="360" w:lineRule="auto"/>
        <w:jc w:val="both"/>
      </w:pPr>
      <w:r>
        <w:rPr>
          <w:rFonts w:ascii="Arial" w:hAnsi="Arial"/>
          <w:b w:val="0"/>
          <w:i w:val="0"/>
          <w:sz w:val="28"/>
        </w:rPr>
        <w:t>En forma subsidiaria, si esa Sala estima que las constancias no bastan para fijar el monto de la condena, se solicita declarar la nulidad con fundamento en el artículo 52, fracción IV, de la citada ley, e indicar los términos en que la autoridad debe resolver: emitir una nueva resolución, fundada y motivada, que examine la petición a la luz del artículo 57, último párrafo, determine las diferencias pendientes y ordene su pago.</w:t>
      </w:r>
    </w:p>
    <w:p>
      <w:pPr>
        <w:spacing w:line="360" w:lineRule="auto"/>
        <w:jc w:val="both"/>
      </w:pPr>
      <w:r>
        <w:rPr>
          <w:rFonts w:ascii="Arial" w:hAnsi="Arial"/>
          <w:b w:val="0"/>
          <w:i w:val="0"/>
          <w:sz w:val="28"/>
        </w:rPr>
        <w:t>Esos efectos subsidiarios coinciden con los que una Sala Regional de este Tribunal fijó en el caso análogo, en el que declaró la nulidad para el efecto de que la autoridad emitiera una nueva resolución debidamente fundada y motivada, determinara las diferencias pendientes de cubrir por los incrementos de ambas prestaciones y realizara el pago correspondiente.</w:t>
      </w:r>
    </w:p>
    <w:p>
      <w:pPr>
        <w:spacing w:line="360" w:lineRule="auto"/>
        <w:jc w:val="both"/>
      </w:pPr>
      <w:r>
        <w:rPr>
          <w:rFonts w:ascii="Arial" w:hAnsi="Arial"/>
          <w:b/>
          <w:sz w:val="28"/>
        </w:rPr>
        <w:t>Nota para quien utilice este machote (suprímase antes de presentar la demanda).</w:t>
      </w:r>
    </w:p>
    <w:p>
      <w:pPr>
        <w:spacing w:line="360" w:lineRule="auto"/>
        <w:jc w:val="both"/>
      </w:pPr>
      <w:r>
        <w:rPr>
          <w:rFonts w:ascii="Arial" w:hAnsi="Arial"/>
          <w:b w:val="0"/>
          <w:i w:val="0"/>
          <w:sz w:val="28"/>
        </w:rPr>
        <w:t>Este concepto se construyó a partir de la sentencia que la Sala Regional de Chiapas del entonces Tribunal Federal de Justicia Fiscal y Administrativa, hoy Tribunal Federal de Justicia Administrativa, dictó el 24 de mayo de 2016 en cumplimiento de una ejecutoria de amparo directo. Desde entonces la ley procesal se ha reformado varias veces, y la fracción III del artículo 52, que la Sala invocó para la nulidad para efectos, fue derogada en junio de 2016.</w:t>
      </w:r>
    </w:p>
    <w:p>
      <w:pPr>
        <w:spacing w:line="360" w:lineRule="auto"/>
        <w:jc w:val="both"/>
      </w:pPr>
      <w:r>
        <w:rPr>
          <w:rFonts w:ascii="Arial" w:hAnsi="Arial"/>
          <w:b w:val="0"/>
          <w:i w:val="0"/>
          <w:sz w:val="28"/>
        </w:rPr>
        <w:t>Los preceptos de la Ley Federal de Procedimiento Contencioso Administrativo que aquí se invocan se cotejaron con su texto vigente, cuya última reforma se publicó en el Diario Oficial de la Federación el 9 de junio de 2026. Antes de presentar la demanda, el artículo 57 de la ley abrogada debe cotejarse en el texto vigente a la fecha en que se otorgó la pensión, y el reglamento, los transitorios y los oficios de autorización, en la versión aplicable al periodo cuyas diferencias se reclaman.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198.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 p. 103.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78.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