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PRESCRIPCIÓN DEL CRÉDITO FISCAL: ACTUACIONES QUE NO INTERRUMPEN EL PLAZO</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adapta el concepto de impugnación a tu demanda de nulidad o a tu ampliación. Antes de llenar un solo campo, reconstruye la línea de tiempo del procedimiento administrativo de ejecución con todas las constancias que exhiba la autoridad: para cada actuación anota si pertenece al procedimiento de ejecución, en qué fecha y en qué domicilio o por qué medio se notificó, y si hay prueba de que llegó a ti.</w:t>
      </w:r>
    </w:p>
    <w:p>
      <w:pPr>
        <w:spacing w:line="360" w:lineRule="auto"/>
        <w:jc w:val="both"/>
      </w:pPr>
      <w:r>
        <w:rPr>
          <w:rFonts w:ascii="Arial" w:hAnsi="Arial"/>
          <w:b w:val="0"/>
          <w:i w:val="0"/>
          <w:sz w:val="24"/>
        </w:rPr>
        <w:t>Coteja el domicilio de cada acta con tu constancia de situación fiscal y aparta las diligencias practicadas en otro lugar; identifica la carta invitación y revisa que se limite a invitar u orientar, sin requerir el pago bajo apercibimiento ni fijar cantidad o plazo con consecuencias. Después calcula los huecos entre gestiones válidas: el concepto sólo funciona si alguno rebasa cinco años y no hubo suspensión del procedimiento en términos del artículo 144 del Código Fiscal de la Federación ni desocupación de tu domicilio fiscal sin aviso.</w:t>
      </w:r>
    </w:p>
    <w:p>
      <w:pPr>
        <w:spacing w:line="360" w:lineRule="auto"/>
        <w:jc w:val="both"/>
      </w:pPr>
      <w:r>
        <w:rPr>
          <w:rFonts w:ascii="Arial" w:hAnsi="Arial"/>
          <w:b w:val="0"/>
          <w:i w:val="0"/>
          <w:sz w:val="24"/>
        </w:rPr>
        <w:t>Decide dónde se plantea. Si conoces los actos de cobro, va en la demanda, que se presenta en treinta días: artículo 13, fracción I, de la Ley Federal de Procedimiento Contencioso Administrativo en la vía ordinaria, y artículo 58-2, párrafo tercero, en la sumaria. Si negaste conocer la resolución determinante o sus actos de ejecución, va en la ampliación, dentro del plazo que fija el artículo 17 de esa ley en la vía ordinaria; en la vía sumaria la ampliación procede en esos mismos casos, pero dentro del plazo propio que fija el artículo 58-6. No lo confundas con el artículo 58-21, que rige el juicio de resolución exclusiva de fondo y sólo admite la ampliación en el supuesto de la fracción IV del artículo 17.</w:t>
      </w:r>
    </w:p>
    <w:p>
      <w:pPr>
        <w:spacing w:line="360" w:lineRule="auto"/>
        <w:jc w:val="both"/>
      </w:pPr>
      <w:r>
        <w:rPr>
          <w:rFonts w:ascii="Arial" w:hAnsi="Arial"/>
          <w:b w:val="0"/>
          <w:i w:val="0"/>
          <w:sz w:val="24"/>
        </w:rPr>
        <w:t>Verifica la competencia. Si tu demanda se presenta a partir del 17 de octubre de 2025, la autoridad invocará la reforma al artículo 3, fracción II, de la Ley Orgánica del Tribunal Federal de Justicia Administrativa, publicada el 16 de octubre de 2025, para sostener que el Tribunal no conoce de actos que exijan el pago de créditos fiscales firmes; la sentencia que inspira el machote sólo resolvió el caso de una demanda anterior. Valora, según tu asunto, pedir a la autoridad la declaratoria de prescripción que permite el último párrafo del artículo 146 del Código Fiscal de la Federación. Por último, elimina los párrafos que no correspondan (el de cosa juzgada si no hubo juicio previo, el de ampliación si todo va en la demanda) y verifica cada fecha contra tus documentos. El machote transcribe el artículo 146 del Código Fiscal de la Federación tal como lo reproduce la sentencia de julio de 2026: cotéjalo con el texto vigente al momento de presentar.</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o ampliación (PRIMERO, SEGUNDO…).</w:t>
      </w:r>
    </w:p>
    <w:p>
      <w:pPr>
        <w:spacing w:line="360" w:lineRule="auto"/>
        <w:jc w:val="both"/>
      </w:pPr>
      <w:r>
        <w:rPr>
          <w:rFonts w:ascii="Arial" w:hAnsi="Arial"/>
          <w:b/>
          <w:i w:val="0"/>
          <w:sz w:val="24"/>
        </w:rPr>
        <w:t>[RESOLUCIÓN IMPUGNADA]</w:t>
      </w:r>
      <w:r>
        <w:rPr>
          <w:rFonts w:ascii="Arial" w:hAnsi="Arial"/>
          <w:b w:val="0"/>
          <w:i w:val="0"/>
          <w:sz w:val="24"/>
        </w:rPr>
        <w:t>: el acto de cobro que combates, con su denominación y número de oficio (requerimiento de pago, embargo, remoción de depositario, requerimiento de bienes), o la resolución que negó la declaratoria de prescripción si esa es tu vía.</w:t>
      </w:r>
    </w:p>
    <w:p>
      <w:pPr>
        <w:spacing w:line="360" w:lineRule="auto"/>
        <w:jc w:val="both"/>
      </w:pPr>
      <w:r>
        <w:rPr>
          <w:rFonts w:ascii="Arial" w:hAnsi="Arial"/>
          <w:b/>
          <w:i w:val="0"/>
          <w:sz w:val="24"/>
        </w:rPr>
        <w:t>[FECHA DE LA RESOLUCIÓN IMPUGNADA]</w:t>
      </w:r>
      <w:r>
        <w:rPr>
          <w:rFonts w:ascii="Arial" w:hAnsi="Arial"/>
          <w:b w:val="0"/>
          <w:i w:val="0"/>
          <w:sz w:val="24"/>
        </w:rPr>
        <w:t>: la fecha de emisión que aparece en ese acto.</w:t>
      </w:r>
    </w:p>
    <w:p>
      <w:pPr>
        <w:spacing w:line="360" w:lineRule="auto"/>
        <w:jc w:val="both"/>
      </w:pPr>
      <w:r>
        <w:rPr>
          <w:rFonts w:ascii="Arial" w:hAnsi="Arial"/>
          <w:b/>
          <w:i w:val="0"/>
          <w:sz w:val="24"/>
        </w:rPr>
        <w:t>[AUTORIDAD DEMANDADA]</w:t>
      </w:r>
      <w:r>
        <w:rPr>
          <w:rFonts w:ascii="Arial" w:hAnsi="Arial"/>
          <w:b w:val="0"/>
          <w:i w:val="0"/>
          <w:sz w:val="24"/>
        </w:rPr>
        <w:t>: la unidad administrativa que emitió el acto, con su denominación completa.</w:t>
      </w:r>
    </w:p>
    <w:p>
      <w:pPr>
        <w:spacing w:line="360" w:lineRule="auto"/>
        <w:jc w:val="both"/>
      </w:pPr>
      <w:r>
        <w:rPr>
          <w:rFonts w:ascii="Arial" w:hAnsi="Arial"/>
          <w:b/>
          <w:i w:val="0"/>
          <w:sz w:val="24"/>
        </w:rPr>
        <w:t>[NÚMERO DEL CRÉDITO FISCAL]</w:t>
      </w:r>
      <w:r>
        <w:rPr>
          <w:rFonts w:ascii="Arial" w:hAnsi="Arial"/>
          <w:b w:val="0"/>
          <w:i w:val="0"/>
          <w:sz w:val="24"/>
        </w:rPr>
        <w:t>: el número de control del crédito que se pretende cobrar, tal como aparece en la resolución determinante.</w:t>
      </w:r>
    </w:p>
    <w:p>
      <w:pPr>
        <w:spacing w:line="360" w:lineRule="auto"/>
        <w:jc w:val="both"/>
      </w:pPr>
      <w:r>
        <w:rPr>
          <w:rFonts w:ascii="Arial" w:hAnsi="Arial"/>
          <w:b/>
          <w:i w:val="0"/>
          <w:sz w:val="24"/>
        </w:rPr>
        <w:t>[NOMBRE DE LA PARTE ACTORA]</w:t>
      </w:r>
      <w:r>
        <w:rPr>
          <w:rFonts w:ascii="Arial" w:hAnsi="Arial"/>
          <w:b w:val="0"/>
          <w:i w:val="0"/>
          <w:sz w:val="24"/>
        </w:rPr>
        <w:t>: el nombre o la denominación de quien demanda.</w:t>
      </w:r>
    </w:p>
    <w:p>
      <w:pPr>
        <w:spacing w:line="360" w:lineRule="auto"/>
        <w:jc w:val="both"/>
      </w:pPr>
      <w:r>
        <w:rPr>
          <w:rFonts w:ascii="Arial" w:hAnsi="Arial"/>
          <w:b/>
          <w:i w:val="0"/>
          <w:sz w:val="24"/>
        </w:rPr>
        <w:t>[ACTUACIÓN DILIGENCIADA EN DOMICILIO DISTINTO]</w:t>
      </w:r>
      <w:r>
        <w:rPr>
          <w:rFonts w:ascii="Arial" w:hAnsi="Arial"/>
          <w:b w:val="0"/>
          <w:i w:val="0"/>
          <w:sz w:val="24"/>
        </w:rPr>
        <w:t>: la actuación del procedimiento de ejecución que la autoridad presenta como interruptora y cuya acta se levantó fuera de tu domicilio registrado (por ejemplo, un acuerdo de ampliación de embargo).</w:t>
      </w:r>
    </w:p>
    <w:p>
      <w:pPr>
        <w:spacing w:line="360" w:lineRule="auto"/>
        <w:jc w:val="both"/>
      </w:pPr>
      <w:r>
        <w:rPr>
          <w:rFonts w:ascii="Arial" w:hAnsi="Arial"/>
          <w:b/>
          <w:i w:val="0"/>
          <w:sz w:val="24"/>
        </w:rPr>
        <w:t>[FECHA DEL ACTA DE LA DILIGENCIA]</w:t>
      </w:r>
      <w:r>
        <w:rPr>
          <w:rFonts w:ascii="Arial" w:hAnsi="Arial"/>
          <w:b w:val="0"/>
          <w:i w:val="0"/>
          <w:sz w:val="24"/>
        </w:rPr>
        <w:t>: la fecha del acta circunstanciada o de hechos que documenta esa diligencia.</w:t>
      </w:r>
    </w:p>
    <w:p>
      <w:pPr>
        <w:spacing w:line="360" w:lineRule="auto"/>
        <w:jc w:val="both"/>
      </w:pPr>
      <w:r>
        <w:rPr>
          <w:rFonts w:ascii="Arial" w:hAnsi="Arial"/>
          <w:b/>
          <w:i w:val="0"/>
          <w:sz w:val="24"/>
        </w:rPr>
        <w:t>[DOMICILIO DE LA DILIGENCIA]</w:t>
      </w:r>
      <w:r>
        <w:rPr>
          <w:rFonts w:ascii="Arial" w:hAnsi="Arial"/>
          <w:b w:val="0"/>
          <w:i w:val="0"/>
          <w:sz w:val="24"/>
        </w:rPr>
        <w:t>: el domicilio en que, según el acta, se constituyó el personal ejecutor.</w:t>
      </w:r>
    </w:p>
    <w:p>
      <w:pPr>
        <w:spacing w:line="360" w:lineRule="auto"/>
        <w:jc w:val="both"/>
      </w:pPr>
      <w:r>
        <w:rPr>
          <w:rFonts w:ascii="Arial" w:hAnsi="Arial"/>
          <w:b/>
          <w:i w:val="0"/>
          <w:sz w:val="24"/>
        </w:rPr>
        <w:t>[DOMICILIO FISCAL REGISTRADO]</w:t>
      </w:r>
      <w:r>
        <w:rPr>
          <w:rFonts w:ascii="Arial" w:hAnsi="Arial"/>
          <w:b w:val="0"/>
          <w:i w:val="0"/>
          <w:sz w:val="24"/>
        </w:rPr>
        <w:t>: el domicilio que consta en tu constancia de situación fiscal para efectos del Registro Federal de Contribuyentes.</w:t>
      </w:r>
    </w:p>
    <w:p>
      <w:pPr>
        <w:spacing w:line="360" w:lineRule="auto"/>
        <w:jc w:val="both"/>
      </w:pPr>
      <w:r>
        <w:rPr>
          <w:rFonts w:ascii="Arial" w:hAnsi="Arial"/>
          <w:b/>
          <w:i w:val="0"/>
          <w:sz w:val="24"/>
        </w:rPr>
        <w:t>[FECHA DE NOTIFICACIÓN DE LA CARTA INVITACIÓN]</w:t>
      </w:r>
      <w:r>
        <w:rPr>
          <w:rFonts w:ascii="Arial" w:hAnsi="Arial"/>
          <w:b w:val="0"/>
          <w:i w:val="0"/>
          <w:sz w:val="24"/>
        </w:rPr>
        <w:t>: la fecha en que te notificaron la carta invitación, incluida la notificación por buzón tributario.</w:t>
      </w:r>
    </w:p>
    <w:p>
      <w:pPr>
        <w:spacing w:line="360" w:lineRule="auto"/>
        <w:jc w:val="both"/>
      </w:pPr>
      <w:r>
        <w:rPr>
          <w:rFonts w:ascii="Arial" w:hAnsi="Arial"/>
          <w:b/>
          <w:i w:val="0"/>
          <w:sz w:val="24"/>
        </w:rPr>
        <w:t>[FECHA DE LA ÚLTIMA GESTIÓN DE COBRO VÁLIDA]</w:t>
      </w:r>
      <w:r>
        <w:rPr>
          <w:rFonts w:ascii="Arial" w:hAnsi="Arial"/>
          <w:b w:val="0"/>
          <w:i w:val="0"/>
          <w:sz w:val="24"/>
        </w:rPr>
        <w:t>: la fecha de notificación de la última actuación del procedimiento de ejecución que sí se hizo de tu conocimiento antes del hueco.</w:t>
      </w:r>
    </w:p>
    <w:p>
      <w:pPr>
        <w:spacing w:line="360" w:lineRule="auto"/>
        <w:jc w:val="both"/>
      </w:pPr>
      <w:r>
        <w:rPr>
          <w:rFonts w:ascii="Arial" w:hAnsi="Arial"/>
          <w:b/>
          <w:i w:val="0"/>
          <w:sz w:val="24"/>
        </w:rPr>
        <w:t>[FECHA DE LA SIGUIENTE GESTIÓN DE COBRO NOTIFICADA]</w:t>
      </w:r>
      <w:r>
        <w:rPr>
          <w:rFonts w:ascii="Arial" w:hAnsi="Arial"/>
          <w:b w:val="0"/>
          <w:i w:val="0"/>
          <w:sz w:val="24"/>
        </w:rPr>
        <w:t>: la fecha de notificación de la siguiente actuación de cobro que sí te fue notificada después del hueco.</w:t>
      </w:r>
    </w:p>
    <w:p>
      <w:pPr>
        <w:spacing w:line="360" w:lineRule="auto"/>
        <w:jc w:val="both"/>
      </w:pPr>
      <w:r>
        <w:rPr>
          <w:rFonts w:ascii="Arial" w:hAnsi="Arial"/>
          <w:b/>
          <w:i w:val="0"/>
          <w:sz w:val="24"/>
        </w:rPr>
        <w:t>[TIEMPO TRANSCURRIDO ENTRE AMBAS FECHAS]</w:t>
      </w:r>
      <w:r>
        <w:rPr>
          <w:rFonts w:ascii="Arial" w:hAnsi="Arial"/>
          <w:b w:val="0"/>
          <w:i w:val="0"/>
          <w:sz w:val="24"/>
        </w:rPr>
        <w:t>: el lapso exacto en años, meses y días entre las dos fechas anteriores; debe rebasar cinco años.</w:t>
      </w:r>
    </w:p>
    <w:p/>
    <w:p>
      <w:pPr>
        <w:spacing w:line="360" w:lineRule="auto"/>
        <w:jc w:val="both"/>
      </w:pPr>
      <w:r>
        <w:rPr>
          <w:rFonts w:ascii="Arial" w:hAnsi="Arial"/>
          <w:b/>
          <w:sz w:val="28"/>
        </w:rPr>
        <w:t>[NÚMERO ORDINAL DEL CONCEPTO] CONCEPTO DE IMPUGNACIÓN. Prescripción del crédito fiscal. Descartadas la diligencia practicada en un domicilio distinto del registrado ante el Registro Federal de Contribuyentes y la carta invitación, que no interrumpen el plazo del artículo 146 del Código Fiscal de la Federación, entre dos gestiones de cobro válidas transcurrieron más de cinco años, de modo que la resolución impugnada se apoya en un crédito extinguido y se actualiza la causal de nulidad del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w:t>
      </w:r>
      <w:r>
        <w:rPr>
          <w:rFonts w:ascii="Arial" w:hAnsi="Arial"/>
          <w:b/>
          <w:i w:val="0"/>
          <w:sz w:val="28"/>
        </w:rPr>
        <w:t>[RESOLUCIÓN IMPUGNADA]</w:t>
      </w:r>
      <w:r>
        <w:rPr>
          <w:rFonts w:ascii="Arial" w:hAnsi="Arial"/>
          <w:b w:val="0"/>
          <w:i w:val="0"/>
          <w:sz w:val="28"/>
        </w:rPr>
        <w:t xml:space="preserve">, de fecha </w:t>
      </w:r>
      <w:r>
        <w:rPr>
          <w:rFonts w:ascii="Arial" w:hAnsi="Arial"/>
          <w:b/>
          <w:i w:val="0"/>
          <w:sz w:val="28"/>
        </w:rPr>
        <w:t>[FECHA DE LA RESOLUCIÓN IMPUGNADA]</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para hacer efectivo el crédito fiscal </w:t>
      </w:r>
      <w:r>
        <w:rPr>
          <w:rFonts w:ascii="Arial" w:hAnsi="Arial"/>
          <w:b/>
          <w:i w:val="0"/>
          <w:sz w:val="28"/>
        </w:rPr>
        <w:t>[NÚMERO DEL CRÉDITO FISCAL]</w:t>
      </w:r>
      <w:r>
        <w:rPr>
          <w:rFonts w:ascii="Arial" w:hAnsi="Arial"/>
          <w:b w:val="0"/>
          <w:i w:val="0"/>
          <w:sz w:val="28"/>
        </w:rPr>
        <w:t xml:space="preserve"> a cargo de </w:t>
      </w:r>
      <w:r>
        <w:rPr>
          <w:rFonts w:ascii="Arial" w:hAnsi="Arial"/>
          <w:b/>
          <w:i w:val="0"/>
          <w:sz w:val="28"/>
        </w:rPr>
        <w:t>[NOMBRE DE LA PARTE ACTORA]</w:t>
      </w:r>
      <w:r>
        <w:rPr>
          <w:rFonts w:ascii="Arial" w:hAnsi="Arial"/>
          <w:b w:val="0"/>
          <w:i w:val="0"/>
          <w:sz w:val="28"/>
        </w:rPr>
        <w:t>, es ilegal, porque cuando se dictó el crédito ya se había extinguido por prescripción, y ninguna actuación posterior a la consumación del plazo podía devolverle una exigibilidad que la ley ya había cancelado.</w:t>
      </w:r>
    </w:p>
    <w:p>
      <w:pPr>
        <w:spacing w:line="360" w:lineRule="auto"/>
        <w:jc w:val="both"/>
      </w:pPr>
      <w:r>
        <w:rPr>
          <w:rFonts w:ascii="Arial" w:hAnsi="Arial"/>
          <w:b w:val="0"/>
          <w:i w:val="0"/>
          <w:sz w:val="28"/>
        </w:rPr>
        <w:t>La demostración exige separar lo que interrumpe la prescripción de lo que sólo aparenta interrumpirla. El artículo 146 del Código Fiscal de la Federación reconoce dos causas de interrupción, la gestión de cobro que el acreedor notifique o haga saber al deudor y el reconocimiento, expreso o tácito, que el propio deudor haga de la existencia del crédito; la autoridad pretende sumarles dos actuaciones que no reúnen los elementos de ninguna de ellas.</w:t>
      </w:r>
    </w:p>
    <w:p>
      <w:pPr>
        <w:spacing w:line="360" w:lineRule="auto"/>
        <w:jc w:val="both"/>
      </w:pPr>
      <w:r>
        <w:rPr>
          <w:rFonts w:ascii="Arial" w:hAnsi="Arial"/>
          <w:b w:val="0"/>
          <w:i w:val="0"/>
          <w:sz w:val="28"/>
        </w:rPr>
        <w:t xml:space="preserve">Esas actuaciones son la </w:t>
      </w:r>
      <w:r>
        <w:rPr>
          <w:rFonts w:ascii="Arial" w:hAnsi="Arial"/>
          <w:b/>
          <w:i w:val="0"/>
          <w:sz w:val="28"/>
        </w:rPr>
        <w:t>[ACTUACIÓN DILIGENCIADA EN DOMICILIO DISTINTO]</w:t>
      </w:r>
      <w:r>
        <w:rPr>
          <w:rFonts w:ascii="Arial" w:hAnsi="Arial"/>
          <w:b w:val="0"/>
          <w:i w:val="0"/>
          <w:sz w:val="28"/>
        </w:rPr>
        <w:t xml:space="preserve">, cuya acta se levantó en un lugar diverso del domicilio fiscal registrado por la parte actora, y la carta invitación notificada el </w:t>
      </w:r>
      <w:r>
        <w:rPr>
          <w:rFonts w:ascii="Arial" w:hAnsi="Arial"/>
          <w:b/>
          <w:i w:val="0"/>
          <w:sz w:val="28"/>
        </w:rPr>
        <w:t>[FECHA DE NOTIFICACIÓN DE LA CARTA INVITACIÓN]</w:t>
      </w:r>
      <w:r>
        <w:rPr>
          <w:rFonts w:ascii="Arial" w:hAnsi="Arial"/>
          <w:b w:val="0"/>
          <w:i w:val="0"/>
          <w:sz w:val="28"/>
        </w:rPr>
        <w:t xml:space="preserve">. Excluidas ambas, entre la última gestión de cobro válidamente notificada, del </w:t>
      </w:r>
      <w:r>
        <w:rPr>
          <w:rFonts w:ascii="Arial" w:hAnsi="Arial"/>
          <w:b/>
          <w:i w:val="0"/>
          <w:sz w:val="28"/>
        </w:rPr>
        <w:t>[FECHA DE LA ÚLTIMA GESTIÓN DE COBRO VÁLIDA]</w:t>
      </w:r>
      <w:r>
        <w:rPr>
          <w:rFonts w:ascii="Arial" w:hAnsi="Arial"/>
          <w:b w:val="0"/>
          <w:i w:val="0"/>
          <w:sz w:val="28"/>
        </w:rPr>
        <w:t xml:space="preserve">, y la siguiente gestión de cobro notificada, del </w:t>
      </w:r>
      <w:r>
        <w:rPr>
          <w:rFonts w:ascii="Arial" w:hAnsi="Arial"/>
          <w:b/>
          <w:i w:val="0"/>
          <w:sz w:val="28"/>
        </w:rPr>
        <w:t>[FECHA DE LA SIGUIENTE GESTIÓN DE COBRO NOTIFICADA]</w:t>
      </w:r>
      <w:r>
        <w:rPr>
          <w:rFonts w:ascii="Arial" w:hAnsi="Arial"/>
          <w:b w:val="0"/>
          <w:i w:val="0"/>
          <w:sz w:val="28"/>
        </w:rPr>
        <w:t xml:space="preserve">, transcurrieron </w:t>
      </w:r>
      <w:r>
        <w:rPr>
          <w:rFonts w:ascii="Arial" w:hAnsi="Arial"/>
          <w:b/>
          <w:i w:val="0"/>
          <w:sz w:val="28"/>
        </w:rPr>
        <w:t>[TIEMPO TRANSCURRIDO ENTRE AMBAS FECHAS]</w:t>
      </w:r>
      <w:r>
        <w:rPr>
          <w:rFonts w:ascii="Arial" w:hAnsi="Arial"/>
          <w:b w:val="0"/>
          <w:i w:val="0"/>
          <w:sz w:val="28"/>
        </w:rPr>
        <w:t>, lapso que rebasa el plazo de cinco años del artículo 146 citado.</w:t>
      </w:r>
    </w:p>
    <w:p>
      <w:pPr>
        <w:spacing w:line="360" w:lineRule="auto"/>
        <w:jc w:val="both"/>
      </w:pPr>
      <w:r>
        <w:rPr>
          <w:rFonts w:ascii="Arial" w:hAnsi="Arial"/>
          <w:b w:val="0"/>
          <w:i w:val="0"/>
          <w:sz w:val="28"/>
        </w:rPr>
        <w:t>El crédito se extinguió, la resolución impugnada carece de sustento y procede declarar su nulidad con fundamento en los artículos 51, fracción IV, y 52, fracción II, de la Ley Federal de Procedimiento Contencioso Administrativo, así como declarar que el crédito fiscal se extinguió por prescripción, que es el mayor beneficio que la parte actora puede obtener en este juicio.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la </w:t>
      </w:r>
      <w:r>
        <w:rPr>
          <w:rFonts w:ascii="Arial" w:hAnsi="Arial"/>
          <w:b/>
          <w:i w:val="0"/>
          <w:sz w:val="28"/>
        </w:rPr>
        <w:t>[RESOLUCIÓN IMPUGNADA]</w:t>
      </w:r>
      <w:r>
        <w:rPr>
          <w:rFonts w:ascii="Arial" w:hAnsi="Arial"/>
          <w:b w:val="0"/>
          <w:i w:val="0"/>
          <w:sz w:val="28"/>
        </w:rPr>
        <w:t xml:space="preserve">, de fecha </w:t>
      </w:r>
      <w:r>
        <w:rPr>
          <w:rFonts w:ascii="Arial" w:hAnsi="Arial"/>
          <w:b/>
          <w:i w:val="0"/>
          <w:sz w:val="28"/>
        </w:rPr>
        <w:t>[FECHA DE LA RESOLUCIÓN IMPUGNADA]</w:t>
      </w:r>
      <w:r>
        <w:rPr>
          <w:rFonts w:ascii="Arial" w:hAnsi="Arial"/>
          <w:b w:val="0"/>
          <w:i w:val="0"/>
          <w:sz w:val="28"/>
        </w:rPr>
        <w:t xml:space="preserve">, dictada por la </w:t>
      </w:r>
      <w:r>
        <w:rPr>
          <w:rFonts w:ascii="Arial" w:hAnsi="Arial"/>
          <w:b/>
          <w:i w:val="0"/>
          <w:sz w:val="28"/>
        </w:rPr>
        <w:t>[AUTORIDAD DEMANDADA]</w:t>
      </w:r>
      <w:r>
        <w:rPr>
          <w:rFonts w:ascii="Arial" w:hAnsi="Arial"/>
          <w:b w:val="0"/>
          <w:i w:val="0"/>
          <w:sz w:val="28"/>
        </w:rPr>
        <w:t xml:space="preserve"> dentro del procedimiento administrativo de ejecución seguido para cobrar el crédito fiscal </w:t>
      </w:r>
      <w:r>
        <w:rPr>
          <w:rFonts w:ascii="Arial" w:hAnsi="Arial"/>
          <w:b/>
          <w:i w:val="0"/>
          <w:sz w:val="28"/>
        </w:rPr>
        <w:t>[NÚMERO DEL CRÉDITO FISCAL]</w:t>
      </w:r>
      <w:r>
        <w:rPr>
          <w:rFonts w:ascii="Arial" w:hAnsi="Arial"/>
          <w:b w:val="0"/>
          <w:i w:val="0"/>
          <w:sz w:val="28"/>
        </w:rPr>
        <w:t>. La norma cuya inobservancia se plantea es el artículo 146 del Código Fiscal de la Federación, que en sus párrafos primero y segundo fija el plazo de la prescripción y sus causas de interrupción.</w:t>
      </w:r>
    </w:p>
    <w:p>
      <w:pPr>
        <w:spacing w:line="360" w:lineRule="auto"/>
        <w:jc w:val="both"/>
      </w:pPr>
      <w:r>
        <w:rPr>
          <w:rFonts w:ascii="Arial" w:hAnsi="Arial"/>
          <w:b w:val="0"/>
          <w:i w:val="0"/>
          <w:sz w:val="28"/>
        </w:rPr>
        <w:t>A ese precepto se suman los artículos 14 y 16 de la Constitución Política de los Estados Unidos Mexicanos, de los que derivan la seguridad jurídica y la legalidad que impiden a la autoridad exigir, mediante actos de molestia, un crédito que la ley ya declaró extinguido. El propio artículo 146 autoriza a oponer la prescripción como excepción en el juicio contencioso administrativo, y su último párrafo prevé que la declaratoria respectiva pueda hacerse a petición del contribuyente.</w:t>
      </w:r>
    </w:p>
    <w:p>
      <w:pPr>
        <w:spacing w:line="360" w:lineRule="auto"/>
        <w:jc w:val="both"/>
      </w:pPr>
      <w:r>
        <w:rPr>
          <w:rFonts w:ascii="Arial" w:hAnsi="Arial"/>
          <w:b w:val="0"/>
          <w:i w:val="0"/>
          <w:sz w:val="28"/>
        </w:rPr>
        <w:t>No es obstáculo que el crédito haya quedado firme ni que su legalidad se haya reconocido en un juicio anterior. La prescripción deja intacta la legalidad de la determinación y versa sobre la subsistencia de la facultad de cobro; presupone, además, un crédito exigible, pues su plazo corre desde que el pago pudo ser legalmente exigido. Así lo ha reconocido la Sala en casos análogos, al desestimar la causal de cosa juzgada fundada en la validez firme de la resolución determinante y estudiar la prescripción opuesta como excepción frente a los actos de cobro, precisamente porque el crédito ya estaba firme.</w:t>
      </w:r>
    </w:p>
    <w:p>
      <w:pPr>
        <w:spacing w:line="360" w:lineRule="auto"/>
        <w:jc w:val="both"/>
      </w:pPr>
      <w:r>
        <w:rPr>
          <w:rFonts w:ascii="Arial" w:hAnsi="Arial"/>
          <w:b w:val="0"/>
          <w:i w:val="0"/>
          <w:sz w:val="28"/>
        </w:rPr>
        <w:t xml:space="preserve">La prescripción puede oponerse desde la demanda o, cuando la parte actora manifestó desconocer la resolución determinante o los actos de cobro, en la ampliación, pues el artículo 16, fracción II, de la Ley Federal de Procedimiento Contencioso Administrativo obliga a la autoridad a acompañar al contestar la constancia de la resolución y de su notificación, </w:t>
      </w:r>
      <w:r>
        <w:rPr>
          <w:rFonts w:ascii="Arial" w:hAnsi="Arial"/>
          <w:b w:val="0"/>
          <w:i/>
          <w:sz w:val="28"/>
        </w:rPr>
        <w:t>“mismas que la persona actora deberá combatir mediante ampliación de la demanda”</w:t>
      </w:r>
      <w:r>
        <w:rPr>
          <w:rFonts w:ascii="Arial" w:hAnsi="Arial"/>
          <w:b w:val="0"/>
          <w:i w:val="0"/>
          <w:sz w:val="28"/>
        </w:rPr>
        <w:t>, y el artículo 17, fracciones II y III, de esa ley autoriza la ampliación en esos supuestos.</w:t>
      </w:r>
    </w:p>
    <w:p>
      <w:pPr>
        <w:spacing w:line="360" w:lineRule="auto"/>
        <w:jc w:val="both"/>
      </w:pPr>
      <w:r>
        <w:rPr>
          <w:rFonts w:ascii="Arial" w:hAnsi="Arial"/>
          <w:b w:val="0"/>
          <w:i w:val="0"/>
          <w:sz w:val="28"/>
        </w:rPr>
        <w:t>El perjuicio es directo: con base en un crédito extinguido, la autoridad mantiene contra la parte actora el procedimiento administrativo de ejecución, con requerimientos, embargos o remociones de depositario que afectan su patrimonio. De prosperar este concepto, la extinción del crédito impide reiterar el cobro, y conforme al artículo 50, segundo párrafo, de la Ley Federal de Procedimiento Contencioso Administrativo su estudio debe preceder al de las causales que sólo conducirían a una nulidad para efectos.</w:t>
      </w:r>
    </w:p>
    <w:p>
      <w:pPr>
        <w:spacing w:line="360" w:lineRule="auto"/>
        <w:jc w:val="both"/>
      </w:pPr>
      <w:r>
        <w:rPr>
          <w:rFonts w:ascii="Arial" w:hAnsi="Arial"/>
          <w:b/>
          <w:sz w:val="28"/>
        </w:rPr>
        <w:t>III. Desarrollo normativo y doctrinal. Premisa mayor.</w:t>
      </w:r>
    </w:p>
    <w:p>
      <w:pPr>
        <w:spacing w:line="360" w:lineRule="auto"/>
        <w:jc w:val="both"/>
      </w:pPr>
      <w:r>
        <w:rPr>
          <w:rFonts w:ascii="Arial" w:hAnsi="Arial"/>
          <w:b w:val="0"/>
          <w:i w:val="0"/>
          <w:sz w:val="28"/>
        </w:rPr>
        <w:t xml:space="preserve">El artículo 146 del Código Fiscal de la Federación dispone, en su párrafo primero, que </w:t>
      </w:r>
      <w:r>
        <w:rPr>
          <w:rFonts w:ascii="Arial" w:hAnsi="Arial"/>
          <w:b w:val="0"/>
          <w:i/>
          <w:sz w:val="28"/>
        </w:rPr>
        <w:t>“El crédito fiscal se extingue por prescripción en el término de cinco años”</w:t>
      </w:r>
      <w:r>
        <w:rPr>
          <w:rFonts w:ascii="Arial" w:hAnsi="Arial"/>
          <w:b w:val="0"/>
          <w:i w:val="0"/>
          <w:sz w:val="28"/>
        </w:rPr>
        <w:t xml:space="preserve">; su párrafo segundo agrega que </w:t>
      </w:r>
      <w:r>
        <w:rPr>
          <w:rFonts w:ascii="Arial" w:hAnsi="Arial"/>
          <w:b w:val="0"/>
          <w:i/>
          <w:sz w:val="28"/>
        </w:rPr>
        <w:t>“El término de la prescripción se inicia a partir de la fecha en que el pago pudo ser legalmente exigido y se podrá oponer como excepción en los recursos administrativos o a través del juicio contencioso administrativo.”</w:t>
      </w:r>
      <w:r>
        <w:rPr>
          <w:rFonts w:ascii="Arial" w:hAnsi="Arial"/>
          <w:b w:val="0"/>
          <w:i w:val="0"/>
          <w:sz w:val="28"/>
        </w:rPr>
        <w:t xml:space="preserve"> Enseguida, el mismo párrafo regula la interrupción en estos términos:</w:t>
      </w:r>
    </w:p>
    <w:p>
      <w:pPr>
        <w:spacing w:line="360" w:lineRule="auto"/>
        <w:jc w:val="both"/>
      </w:pPr>
      <w:r>
        <w:rPr>
          <w:rFonts w:ascii="Arial" w:hAnsi="Arial"/>
          <w:b w:val="0"/>
          <w:i/>
          <w:sz w:val="28"/>
        </w:rPr>
        <w:t>“El término para que se consuma la prescripción se interrumpe con cada gestión de cobro que el acreedor notifique o haga saber al deudor o por el reconocimiento expreso o tácito de este respecto de la existencia del crédito. Se considera gestión de cobro cualquier actuación de la autoridad dentro del procedimiento administrativo de ejecución, siempre que se haga del conocimiento del deudor.”</w:t>
      </w:r>
    </w:p>
    <w:p>
      <w:pPr>
        <w:spacing w:line="360" w:lineRule="auto"/>
        <w:jc w:val="both"/>
      </w:pPr>
      <w:r>
        <w:rPr>
          <w:rFonts w:ascii="Arial" w:hAnsi="Arial"/>
          <w:b w:val="0"/>
          <w:i w:val="0"/>
          <w:sz w:val="28"/>
        </w:rPr>
        <w:t xml:space="preserve">Del texto se desprenden dos hipótesis de interrupción con sujetos distintos. La primera es obra del acreedor y exige dos elementos concurrentes: que se trate de una actuación dentro del procedimiento administrativo de ejecución y que se haga del conocimiento del deudor; la segunda es obra del deudor, porque el reconocimiento, expreso o tácito, lo realiza </w:t>
      </w:r>
      <w:r>
        <w:rPr>
          <w:rFonts w:ascii="Arial" w:hAnsi="Arial"/>
          <w:b w:val="0"/>
          <w:i/>
          <w:sz w:val="28"/>
        </w:rPr>
        <w:t>“este”</w:t>
      </w:r>
      <w:r>
        <w:rPr>
          <w:rFonts w:ascii="Arial" w:hAnsi="Arial"/>
          <w:b w:val="0"/>
          <w:i w:val="0"/>
          <w:sz w:val="28"/>
        </w:rPr>
        <w:t xml:space="preserve"> respecto de la existencia del crédito. Ninguna se satisface con la sola voluntad de la autoridad de tener por interrumpido el plazo.</w:t>
      </w:r>
    </w:p>
    <w:p>
      <w:pPr>
        <w:spacing w:line="360" w:lineRule="auto"/>
        <w:jc w:val="both"/>
      </w:pPr>
      <w:r>
        <w:rPr>
          <w:rFonts w:ascii="Arial" w:hAnsi="Arial"/>
          <w:b w:val="0"/>
          <w:i w:val="0"/>
          <w:sz w:val="28"/>
        </w:rPr>
        <w:t>La distinción importa por la severidad de los efectos: la interrupción borra el tiempo transcurrido y reinicia el cómputo de los cinco años, en tanto que la suspensión sólo lo detiene mientras subsiste su causa, como lo ha reconocido la Sala en casos análogos. Precisamente porque la interrupción renueva la vida de la facultad de cobro, sus causas deben leerse en los términos en que la ley las describe, ya que extender la aptitud interruptora a actos que el precepto no contempla equivaldría a prolongar el plazo por decisión del acreedor.</w:t>
      </w:r>
    </w:p>
    <w:p>
      <w:pPr>
        <w:spacing w:line="360" w:lineRule="auto"/>
        <w:jc w:val="both"/>
      </w:pPr>
      <w:r>
        <w:rPr>
          <w:rFonts w:ascii="Arial" w:hAnsi="Arial"/>
          <w:b w:val="0"/>
          <w:i w:val="0"/>
          <w:sz w:val="28"/>
        </w:rPr>
        <w:t>La prescripción opera como garantía de certeza. La doctrina que concibe la certeza jurídica como previsibilidad incluye en su objeto el tiempo en que se producen las reacciones de los órganos jurídicos, de suerte que el derecho es más cierto en la medida en que las personas pueden predeterminar el intervalo entre un hecho y la respuesta de la autoridad.</w:t>
      </w:r>
      <w:r>
        <w:rPr>
          <w:rFonts w:ascii="Arial" w:hAnsi="Arial"/>
          <w:vertAlign w:val="superscript"/>
        </w:rPr>
        <w:t>1</w:t>
      </w:r>
      <w:r>
        <w:rPr>
          <w:rFonts w:ascii="Arial" w:hAnsi="Arial"/>
          <w:b w:val="0"/>
          <w:i w:val="0"/>
          <w:sz w:val="28"/>
        </w:rPr>
        <w:t xml:space="preserve"> El plazo del artículo 146 cumple esa función en la relación tributaria, pues permite al deudor saber hasta cuándo puede ser alcanzado por el cobro coactivo.</w:t>
      </w:r>
    </w:p>
    <w:p>
      <w:pPr>
        <w:spacing w:line="360" w:lineRule="auto"/>
        <w:jc w:val="both"/>
      </w:pPr>
      <w:r>
        <w:rPr>
          <w:rFonts w:ascii="Arial" w:hAnsi="Arial"/>
          <w:b w:val="0"/>
          <w:i w:val="0"/>
          <w:sz w:val="28"/>
        </w:rPr>
        <w:t xml:space="preserve">Esa previsión se frustraría si el acreedor pudiera renovar el plazo con actos que el deudor no conoce o que la ley no califica como interruptores. El legislador lo entendió así al introducir el plazo máximo de diez años del párrafo quinto del mismo artículo, cuya exposición de motivos, según lo ha reconocido la Sala en casos análogos, expresa el propósito de </w:t>
      </w:r>
      <w:r>
        <w:rPr>
          <w:rFonts w:ascii="Arial" w:hAnsi="Arial"/>
          <w:b w:val="0"/>
          <w:i/>
          <w:sz w:val="28"/>
        </w:rPr>
        <w:t>“fijar un límite temporal a la posibilidad de realizar el cobro de los créditos fiscales y de esta manera evitar que tal facultad se prolongue de manera indefinida”</w:t>
      </w:r>
      <w:r>
        <w:rPr>
          <w:rFonts w:ascii="Arial" w:hAnsi="Arial"/>
          <w:b w:val="0"/>
          <w:i w:val="0"/>
          <w:sz w:val="28"/>
        </w:rPr>
        <w:t>.</w:t>
      </w:r>
    </w:p>
    <w:p>
      <w:pPr>
        <w:spacing w:line="360" w:lineRule="auto"/>
        <w:jc w:val="both"/>
      </w:pPr>
      <w:r>
        <w:rPr>
          <w:rFonts w:ascii="Arial" w:hAnsi="Arial"/>
          <w:b w:val="0"/>
          <w:i w:val="0"/>
          <w:sz w:val="28"/>
        </w:rPr>
        <w:t>El conocimiento del deudor constituye el núcleo de la primera hipótesis. La doctrina procesal explica que la notificación tiene como objetivo primordial que los actos acontecidos sin la presencia de los interesados sean conocidos por éstos, lo que posibilita su defensa, y que para ello se reviste de formalidades cuyo cumplimiento garantiza la tutela efectiva y el debido proceso.</w:t>
      </w:r>
      <w:r>
        <w:rPr>
          <w:rFonts w:ascii="Arial" w:hAnsi="Arial"/>
          <w:vertAlign w:val="superscript"/>
        </w:rPr>
        <w:t>2</w:t>
      </w:r>
      <w:r>
        <w:rPr>
          <w:rFonts w:ascii="Arial" w:hAnsi="Arial"/>
          <w:b w:val="0"/>
          <w:i w:val="0"/>
          <w:sz w:val="28"/>
        </w:rPr>
        <w:t xml:space="preserve"> Una actuación del procedimiento de ejecución que no llega a su destinatario carece, por tanto, del elemento que la ley exige para interrumpir.</w:t>
      </w:r>
    </w:p>
    <w:p>
      <w:pPr>
        <w:spacing w:line="360" w:lineRule="auto"/>
        <w:jc w:val="both"/>
      </w:pPr>
      <w:r>
        <w:rPr>
          <w:rFonts w:ascii="Arial" w:hAnsi="Arial"/>
          <w:b w:val="0"/>
          <w:i w:val="0"/>
          <w:sz w:val="28"/>
        </w:rPr>
        <w:t>El lugar de la diligencia es decisivo para ese conocimiento. La constancia de situación fiscal acredita el domicilio que la persona contribuyente señaló para efectos del Registro Federal de Contribuyentes, y una diligencia practicada en un lugar distinto no demuestra que el deudor conoció la actuación; así lo ha reconocido la Sala en casos análogos, al calificar de ilegal el acta levantada en un domicilio diverso del registrado y negar efecto interruptor a la gestión que esa acta pretendía documentar.</w:t>
      </w:r>
    </w:p>
    <w:p>
      <w:pPr>
        <w:spacing w:line="360" w:lineRule="auto"/>
        <w:jc w:val="both"/>
      </w:pPr>
      <w:r>
        <w:rPr>
          <w:rFonts w:ascii="Arial" w:hAnsi="Arial"/>
          <w:b w:val="0"/>
          <w:i w:val="0"/>
          <w:sz w:val="28"/>
        </w:rPr>
        <w:t xml:space="preserve">A ello se suma la distribución de la carga probatoria. Conforme al artículo 42 de la Ley Federal de Procedimiento Contencioso Administrativo, los actos administrativos se presumen legales, pero </w:t>
      </w:r>
      <w:r>
        <w:rPr>
          <w:rFonts w:ascii="Arial" w:hAnsi="Arial"/>
          <w:b w:val="0"/>
          <w:i/>
          <w:sz w:val="28"/>
        </w:rPr>
        <w:t>“las autoridades deberán probar los hechos que los motiven cuando la persona afectada los niegue lisa y llanamente, a menos que la negativa implique la afirmación de otro hecho”</w:t>
      </w:r>
      <w:r>
        <w:rPr>
          <w:rFonts w:ascii="Arial" w:hAnsi="Arial"/>
          <w:b w:val="0"/>
          <w:i w:val="0"/>
          <w:sz w:val="28"/>
        </w:rPr>
        <w:t>. Si la parte actora niega haber conocido una gestión de cobro, corresponde a la autoridad demostrar que se hizo de su conocimiento.</w:t>
      </w:r>
    </w:p>
    <w:p>
      <w:pPr>
        <w:spacing w:line="360" w:lineRule="auto"/>
        <w:jc w:val="both"/>
      </w:pPr>
      <w:r>
        <w:rPr>
          <w:rFonts w:ascii="Arial" w:hAnsi="Arial"/>
          <w:b w:val="0"/>
          <w:i w:val="0"/>
          <w:sz w:val="28"/>
        </w:rPr>
        <w:t xml:space="preserve">La misma constancia impide convertir esa diligencia en causa de suspensión. El párrafo cuarto del artículo 146 dispone que el plazo se suspende </w:t>
      </w:r>
      <w:r>
        <w:rPr>
          <w:rFonts w:ascii="Arial" w:hAnsi="Arial"/>
          <w:b w:val="0"/>
          <w:i/>
          <w:sz w:val="28"/>
        </w:rPr>
        <w:t>“cuando el contribuyente hubiera desocupado su domicilio fiscal sin haber presentado el aviso de cambio correspondiente o cuando hubiere señalado de manera incorrecta su domicilio fiscal”</w:t>
      </w:r>
      <w:r>
        <w:rPr>
          <w:rFonts w:ascii="Arial" w:hAnsi="Arial"/>
          <w:b w:val="0"/>
          <w:i w:val="0"/>
          <w:sz w:val="28"/>
        </w:rPr>
        <w:t>; la hipótesis se refiere al domicilio fiscal del deudor, y su ausencia en un lugar distinto nada dice sobre si desocupó el que tenía registrado.</w:t>
      </w:r>
    </w:p>
    <w:p>
      <w:pPr>
        <w:spacing w:line="360" w:lineRule="auto"/>
        <w:jc w:val="both"/>
      </w:pPr>
      <w:r>
        <w:rPr>
          <w:rFonts w:ascii="Arial" w:hAnsi="Arial"/>
          <w:b w:val="0"/>
          <w:i w:val="0"/>
          <w:sz w:val="28"/>
        </w:rPr>
        <w:t xml:space="preserve">La segunda hipótesis de interrupción exige un acto del deudor. El reconocimiento tácito se infiere de hechos del propio obligado que presupongan la aceptación de la existencia del crédito; por eso la Sala, en casos análogos, ha sostenido que para que se actualice </w:t>
      </w:r>
      <w:r>
        <w:rPr>
          <w:rFonts w:ascii="Arial" w:hAnsi="Arial"/>
          <w:b w:val="0"/>
          <w:i/>
          <w:sz w:val="28"/>
        </w:rPr>
        <w:t>“resulta indispensable una acción detectable del propio contribuyente”</w:t>
      </w:r>
      <w:r>
        <w:rPr>
          <w:rFonts w:ascii="Arial" w:hAnsi="Arial"/>
          <w:b w:val="0"/>
          <w:i w:val="0"/>
          <w:sz w:val="28"/>
        </w:rPr>
        <w:t>. Un acto del acreedor, cualquiera que sea su contenido, no puede suplir la conducta que la ley atribuye al deudor.</w:t>
      </w:r>
    </w:p>
    <w:p>
      <w:pPr>
        <w:spacing w:line="360" w:lineRule="auto"/>
        <w:jc w:val="both"/>
      </w:pPr>
      <w:r>
        <w:rPr>
          <w:rFonts w:ascii="Arial" w:hAnsi="Arial"/>
          <w:b w:val="0"/>
          <w:i w:val="0"/>
          <w:sz w:val="28"/>
        </w:rPr>
        <w:t>Para calificar la carta invitación conviene atender a su naturaleza. La doctrina de la prueba documental distingue, dentro de los documentos declarativos, las narraciones que sólo buscan representar un estado de cosas de las declaraciones constitutivas, que pretenden modificarlo.</w:t>
      </w:r>
      <w:r>
        <w:rPr>
          <w:rFonts w:ascii="Arial" w:hAnsi="Arial"/>
          <w:vertAlign w:val="superscript"/>
        </w:rPr>
        <w:t>3</w:t>
      </w:r>
      <w:r>
        <w:rPr>
          <w:rFonts w:ascii="Arial" w:hAnsi="Arial"/>
          <w:b w:val="0"/>
          <w:i w:val="0"/>
          <w:sz w:val="28"/>
        </w:rPr>
        <w:t xml:space="preserve"> La carta invitación pertenece a la primera clase cuando se limita a dar noticia de lo que consta en los registros de la autoridad y a invitar a la persona contribuyente a regularizar su situación, pues entonces no es una actuación del procedimiento administrativo de ejecución ni un hecho del deudor.</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De las constancias exhibidas por la autoridad se desprende que la última gestión de cobro hecha válidamente del conocimiento de la parte actora es la notificada el </w:t>
      </w:r>
      <w:r>
        <w:rPr>
          <w:rFonts w:ascii="Arial" w:hAnsi="Arial"/>
          <w:b/>
          <w:i w:val="0"/>
          <w:sz w:val="28"/>
        </w:rPr>
        <w:t>[FECHA DE LA ÚLTIMA GESTIÓN DE COBRO VÁLIDA]</w:t>
      </w:r>
      <w:r>
        <w:rPr>
          <w:rFonts w:ascii="Arial" w:hAnsi="Arial"/>
          <w:b w:val="0"/>
          <w:i w:val="0"/>
          <w:sz w:val="28"/>
        </w:rPr>
        <w:t xml:space="preserve">. Entre esa fecha y el </w:t>
      </w:r>
      <w:r>
        <w:rPr>
          <w:rFonts w:ascii="Arial" w:hAnsi="Arial"/>
          <w:b/>
          <w:i w:val="0"/>
          <w:sz w:val="28"/>
        </w:rPr>
        <w:t>[FECHA DE LA SIGUIENTE GESTIÓN DE COBRO NOTIFICADA]</w:t>
      </w:r>
      <w:r>
        <w:rPr>
          <w:rFonts w:ascii="Arial" w:hAnsi="Arial"/>
          <w:b w:val="0"/>
          <w:i w:val="0"/>
          <w:sz w:val="28"/>
        </w:rPr>
        <w:t xml:space="preserve">, en que se notificó la siguiente gestión de cobro, la autoridad sólo invoca dos actos, la </w:t>
      </w:r>
      <w:r>
        <w:rPr>
          <w:rFonts w:ascii="Arial" w:hAnsi="Arial"/>
          <w:b/>
          <w:i w:val="0"/>
          <w:sz w:val="28"/>
        </w:rPr>
        <w:t>[ACTUACIÓN DILIGENCIADA EN DOMICILIO DISTINTO]</w:t>
      </w:r>
      <w:r>
        <w:rPr>
          <w:rFonts w:ascii="Arial" w:hAnsi="Arial"/>
          <w:b w:val="0"/>
          <w:i w:val="0"/>
          <w:sz w:val="28"/>
        </w:rPr>
        <w:t xml:space="preserve">, documentada en acta de </w:t>
      </w:r>
      <w:r>
        <w:rPr>
          <w:rFonts w:ascii="Arial" w:hAnsi="Arial"/>
          <w:b/>
          <w:i w:val="0"/>
          <w:sz w:val="28"/>
        </w:rPr>
        <w:t>[FECHA DEL ACTA DE LA DILIGENCIA]</w:t>
      </w:r>
      <w:r>
        <w:rPr>
          <w:rFonts w:ascii="Arial" w:hAnsi="Arial"/>
          <w:b w:val="0"/>
          <w:i w:val="0"/>
          <w:sz w:val="28"/>
        </w:rPr>
        <w:t xml:space="preserve">, y la carta invitación notificada el </w:t>
      </w:r>
      <w:r>
        <w:rPr>
          <w:rFonts w:ascii="Arial" w:hAnsi="Arial"/>
          <w:b/>
          <w:i w:val="0"/>
          <w:sz w:val="28"/>
        </w:rPr>
        <w:t>[FECHA DE NOTIFICACIÓN DE LA CARTA INVITACIÓN]</w:t>
      </w:r>
      <w:r>
        <w:rPr>
          <w:rFonts w:ascii="Arial" w:hAnsi="Arial"/>
          <w:b w:val="0"/>
          <w:i w:val="0"/>
          <w:sz w:val="28"/>
        </w:rPr>
        <w:t>. Ninguno interrumpe el plazo.</w:t>
      </w:r>
    </w:p>
    <w:p>
      <w:pPr>
        <w:spacing w:line="360" w:lineRule="auto"/>
        <w:jc w:val="both"/>
      </w:pPr>
      <w:r>
        <w:rPr>
          <w:rFonts w:ascii="Arial" w:hAnsi="Arial"/>
          <w:b w:val="0"/>
          <w:i w:val="0"/>
          <w:sz w:val="28"/>
        </w:rPr>
        <w:t xml:space="preserve">El acta relativa a la </w:t>
      </w:r>
      <w:r>
        <w:rPr>
          <w:rFonts w:ascii="Arial" w:hAnsi="Arial"/>
          <w:b/>
          <w:i w:val="0"/>
          <w:sz w:val="28"/>
        </w:rPr>
        <w:t>[ACTUACIÓN DILIGENCIADA EN DOMICILIO DISTINTO]</w:t>
      </w:r>
      <w:r>
        <w:rPr>
          <w:rFonts w:ascii="Arial" w:hAnsi="Arial"/>
          <w:b w:val="0"/>
          <w:i w:val="0"/>
          <w:sz w:val="28"/>
        </w:rPr>
        <w:t xml:space="preserve"> consigna que el personal ejecutor se constituyó en </w:t>
      </w:r>
      <w:r>
        <w:rPr>
          <w:rFonts w:ascii="Arial" w:hAnsi="Arial"/>
          <w:b/>
          <w:i w:val="0"/>
          <w:sz w:val="28"/>
        </w:rPr>
        <w:t>[DOMICILIO DE LA DILIGENCIA]</w:t>
      </w:r>
      <w:r>
        <w:rPr>
          <w:rFonts w:ascii="Arial" w:hAnsi="Arial"/>
          <w:b w:val="0"/>
          <w:i w:val="0"/>
          <w:sz w:val="28"/>
        </w:rPr>
        <w:t xml:space="preserve">, mientras que la constancia de situación fiscal de la parte actora acredita que su domicilio para efectos del Registro Federal de Contribuyentes es </w:t>
      </w:r>
      <w:r>
        <w:rPr>
          <w:rFonts w:ascii="Arial" w:hAnsi="Arial"/>
          <w:b/>
          <w:i w:val="0"/>
          <w:sz w:val="28"/>
        </w:rPr>
        <w:t>[DOMICILIO FISCAL REGISTRADO]</w:t>
      </w:r>
      <w:r>
        <w:rPr>
          <w:rFonts w:ascii="Arial" w:hAnsi="Arial"/>
          <w:b w:val="0"/>
          <w:i w:val="0"/>
          <w:sz w:val="28"/>
        </w:rPr>
        <w:t>. La diligencia se practicó en un lugar ajeno al domicilio registrado, la parte actora niega lisa y llanamente haber conocido esa actuación y la autoridad no aportó prueba alguna de que la conociera por otro medio.</w:t>
      </w:r>
    </w:p>
    <w:p>
      <w:pPr>
        <w:spacing w:line="360" w:lineRule="auto"/>
        <w:jc w:val="both"/>
      </w:pPr>
      <w:r>
        <w:rPr>
          <w:rFonts w:ascii="Arial" w:hAnsi="Arial"/>
          <w:b w:val="0"/>
          <w:i w:val="0"/>
          <w:sz w:val="28"/>
        </w:rPr>
        <w:t>El argumento de la autoridad, que tiene por interrumpido el plazo con la sola existencia del acta, incurre en la falacia de eludir la carga de la prueba, que consiste en no aportar razones que fundamenten la conclusión o en pretender que las aporte el oponente.</w:t>
      </w:r>
      <w:r>
        <w:rPr>
          <w:rFonts w:ascii="Arial" w:hAnsi="Arial"/>
          <w:vertAlign w:val="superscript"/>
        </w:rPr>
        <w:t>4</w:t>
      </w:r>
      <w:r>
        <w:rPr>
          <w:rFonts w:ascii="Arial" w:hAnsi="Arial"/>
          <w:b w:val="0"/>
          <w:i w:val="0"/>
          <w:sz w:val="28"/>
        </w:rPr>
        <w:t xml:space="preserve"> La autoridad afirma que la gestión se hizo del conocimiento del deudor, que es justamente el elemento exigido por la ley, y en lugar de demostrarlo traslada a la parte actora la tarea de probar que no la conoció, en contra del artículo 42 citado.</w:t>
      </w:r>
    </w:p>
    <w:p>
      <w:pPr>
        <w:spacing w:line="360" w:lineRule="auto"/>
        <w:jc w:val="both"/>
      </w:pPr>
      <w:r>
        <w:rPr>
          <w:rFonts w:ascii="Arial" w:hAnsi="Arial"/>
          <w:b w:val="0"/>
          <w:i w:val="0"/>
          <w:sz w:val="28"/>
        </w:rPr>
        <w:t xml:space="preserve">Tampoco puede convertirse esa acta en causa de suspensión. Que la parte actora no fuera localizada en </w:t>
      </w:r>
      <w:r>
        <w:rPr>
          <w:rFonts w:ascii="Arial" w:hAnsi="Arial"/>
          <w:b/>
          <w:i w:val="0"/>
          <w:sz w:val="28"/>
        </w:rPr>
        <w:t>[DOMICILIO DE LA DILIGENCIA]</w:t>
      </w:r>
      <w:r>
        <w:rPr>
          <w:rFonts w:ascii="Arial" w:hAnsi="Arial"/>
          <w:b w:val="0"/>
          <w:i w:val="0"/>
          <w:sz w:val="28"/>
        </w:rPr>
        <w:t xml:space="preserve"> nada demuestra sobre el domicilio fiscal registrado, y la suspensión del párrafo cuarto del artículo 146 se refiere a la desocupación de ese domicilio o a su señalamiento incorrecto; no consta, por lo demás, que el procedimiento de ejecución se hubiera suspendido en términos del artículo 144 del Código Fiscal de la Federación, la otra causa de suspensión que el precepto prevé.</w:t>
      </w:r>
    </w:p>
    <w:p>
      <w:pPr>
        <w:spacing w:line="360" w:lineRule="auto"/>
        <w:jc w:val="both"/>
      </w:pPr>
      <w:r>
        <w:rPr>
          <w:rFonts w:ascii="Arial" w:hAnsi="Arial"/>
          <w:b w:val="0"/>
          <w:i w:val="0"/>
          <w:sz w:val="28"/>
        </w:rPr>
        <w:t>La carta invitación tampoco es una gestión de cobro, y sostener lo contrario incurre en la falacia de ambigüedad o del equívoco, que se produce cuando en un mismo argumento se emplean palabras o frases en más de un sentido.</w:t>
      </w:r>
      <w:r>
        <w:rPr>
          <w:rFonts w:ascii="Arial" w:hAnsi="Arial"/>
          <w:vertAlign w:val="superscript"/>
        </w:rPr>
        <w:t>5</w:t>
      </w:r>
      <w:r>
        <w:rPr>
          <w:rFonts w:ascii="Arial" w:hAnsi="Arial"/>
          <w:b w:val="0"/>
          <w:i w:val="0"/>
          <w:sz w:val="28"/>
        </w:rPr>
        <w:t xml:space="preserve"> La autoridad parte de la acepción coloquial de </w:t>
      </w:r>
      <w:r>
        <w:rPr>
          <w:rFonts w:ascii="Arial" w:hAnsi="Arial"/>
          <w:b w:val="0"/>
          <w:i/>
          <w:sz w:val="28"/>
        </w:rPr>
        <w:t>“gestión de cobro”</w:t>
      </w:r>
      <w:r>
        <w:rPr>
          <w:rFonts w:ascii="Arial" w:hAnsi="Arial"/>
          <w:b w:val="0"/>
          <w:i w:val="0"/>
          <w:sz w:val="28"/>
        </w:rPr>
        <w:t>, como cualquier comunicación que alude a un adeudo, para concluir en la acepción técnica que el artículo 146 reserva a las actuaciones dentro del procedimiento administrativo de ejecución hechas del conocimiento del deudor.</w:t>
      </w:r>
    </w:p>
    <w:p>
      <w:pPr>
        <w:spacing w:line="360" w:lineRule="auto"/>
        <w:jc w:val="both"/>
      </w:pPr>
      <w:r>
        <w:rPr>
          <w:rFonts w:ascii="Arial" w:hAnsi="Arial"/>
          <w:b w:val="0"/>
          <w:i w:val="0"/>
          <w:sz w:val="28"/>
        </w:rPr>
        <w:t xml:space="preserve">Entre ambos sentidos media la pertenencia al procedimiento de ejecución, que la carta no tiene. La carta invitación notificada el </w:t>
      </w:r>
      <w:r>
        <w:rPr>
          <w:rFonts w:ascii="Arial" w:hAnsi="Arial"/>
          <w:b/>
          <w:i w:val="0"/>
          <w:sz w:val="28"/>
        </w:rPr>
        <w:t>[FECHA DE NOTIFICACIÓN DE LA CARTA INVITACIÓN]</w:t>
      </w:r>
      <w:r>
        <w:rPr>
          <w:rFonts w:ascii="Arial" w:hAnsi="Arial"/>
          <w:b w:val="0"/>
          <w:i w:val="0"/>
          <w:sz w:val="28"/>
        </w:rPr>
        <w:t xml:space="preserve"> no requiere el pago bajo apercibimiento, no ordena embargo, no fija cantidad ni plazo con consecuencias jurídicas para la persona destinataria y se limita a invitarla a regularizar su situación o a acudir a las oficinas de la autoridad; por ello la Sala, en casos análogos, ha resuelto que un documento de esa naturaleza </w:t>
      </w:r>
      <w:r>
        <w:rPr>
          <w:rFonts w:ascii="Arial" w:hAnsi="Arial"/>
          <w:b w:val="0"/>
          <w:i/>
          <w:sz w:val="28"/>
        </w:rPr>
        <w:t>“no constituye por sí mismo un acto de ejecución”</w:t>
      </w:r>
      <w:r>
        <w:rPr>
          <w:rFonts w:ascii="Arial" w:hAnsi="Arial"/>
          <w:b w:val="0"/>
          <w:i w:val="0"/>
          <w:sz w:val="28"/>
        </w:rPr>
        <w:t>.</w:t>
      </w:r>
    </w:p>
    <w:p>
      <w:pPr>
        <w:spacing w:line="360" w:lineRule="auto"/>
        <w:jc w:val="both"/>
      </w:pPr>
      <w:r>
        <w:rPr>
          <w:rFonts w:ascii="Arial" w:hAnsi="Arial"/>
          <w:b w:val="0"/>
          <w:i w:val="0"/>
          <w:sz w:val="28"/>
        </w:rPr>
        <w:t>Queda el intento de tener la carta como reconocimiento tácito del adeudo. Ese razonamiento es un non sequitur, denominación genérica de los argumentos en que la conclusión no se sigue de las premisas.</w:t>
      </w:r>
      <w:r>
        <w:rPr>
          <w:rFonts w:ascii="Arial" w:hAnsi="Arial"/>
          <w:vertAlign w:val="superscript"/>
        </w:rPr>
        <w:t>6</w:t>
      </w:r>
      <w:r>
        <w:rPr>
          <w:rFonts w:ascii="Arial" w:hAnsi="Arial"/>
          <w:b w:val="0"/>
          <w:i w:val="0"/>
          <w:sz w:val="28"/>
        </w:rPr>
        <w:t xml:space="preserve"> De que el acreedor haya dado noticia al deudor de un presunto adeudo no se sigue que el deudor lo haya reconocido, porque la premisa describe una conducta de la autoridad y la conclusión atribuye una conducta a la parte actora, que no realizó acto alguno del que pueda inferirse la aceptación del crédito.</w:t>
      </w:r>
    </w:p>
    <w:p>
      <w:pPr>
        <w:spacing w:line="360" w:lineRule="auto"/>
        <w:jc w:val="both"/>
      </w:pPr>
      <w:r>
        <w:rPr>
          <w:rFonts w:ascii="Arial" w:hAnsi="Arial"/>
          <w:b w:val="0"/>
          <w:i w:val="0"/>
          <w:sz w:val="28"/>
        </w:rPr>
        <w:t>Si bastara que el acreedor enviara una carta para que se tuviera por reconocida la deuda, la interrupción dependería por entero de la voluntad del acreedor, resultado que el artículo 146 excluye al distinguir sus dos hipótesis. Por la misma razón, tampoco constituye reconocimiento la referencia que la parte actora hace en este juicio a la exigibilidad del crédito o a las gestiones que obran en autos, pues esas menciones sirven para computar la prescripción que se opone, y convertir la excepción en reconocimiento conduciría al contrasentido de que oponer la prescripción bastaría para perderla.</w:t>
      </w:r>
    </w:p>
    <w:p>
      <w:pPr>
        <w:spacing w:line="360" w:lineRule="auto"/>
        <w:jc w:val="both"/>
      </w:pPr>
      <w:r>
        <w:rPr>
          <w:rFonts w:ascii="Arial" w:hAnsi="Arial"/>
          <w:b w:val="0"/>
          <w:i w:val="0"/>
          <w:sz w:val="28"/>
        </w:rPr>
        <w:t xml:space="preserve">Descartadas esas actuaciones, el cómputo es directo. El plazo de cinco años se reinició con la gestión notificada el </w:t>
      </w:r>
      <w:r>
        <w:rPr>
          <w:rFonts w:ascii="Arial" w:hAnsi="Arial"/>
          <w:b/>
          <w:i w:val="0"/>
          <w:sz w:val="28"/>
        </w:rPr>
        <w:t>[FECHA DE LA ÚLTIMA GESTIÓN DE COBRO VÁLIDA]</w:t>
      </w:r>
      <w:r>
        <w:rPr>
          <w:rFonts w:ascii="Arial" w:hAnsi="Arial"/>
          <w:b w:val="0"/>
          <w:i w:val="0"/>
          <w:sz w:val="28"/>
        </w:rPr>
        <w:t xml:space="preserve"> y, sin interrupción ni suspensión posterior válidamente acreditada, se consumó antes de que se notificara la siguiente gestión de cobro, el </w:t>
      </w:r>
      <w:r>
        <w:rPr>
          <w:rFonts w:ascii="Arial" w:hAnsi="Arial"/>
          <w:b/>
          <w:i w:val="0"/>
          <w:sz w:val="28"/>
        </w:rPr>
        <w:t>[FECHA DE LA SIGUIENTE GESTIÓN DE COBRO NOTIFICADA]</w:t>
      </w:r>
      <w:r>
        <w:rPr>
          <w:rFonts w:ascii="Arial" w:hAnsi="Arial"/>
          <w:b w:val="0"/>
          <w:i w:val="0"/>
          <w:sz w:val="28"/>
        </w:rPr>
        <w:t xml:space="preserve">; entre ambas fechas transcurrieron </w:t>
      </w:r>
      <w:r>
        <w:rPr>
          <w:rFonts w:ascii="Arial" w:hAnsi="Arial"/>
          <w:b/>
          <w:i w:val="0"/>
          <w:sz w:val="28"/>
        </w:rPr>
        <w:t>[TIEMPO TRANSCURRIDO ENTRE AMBAS FECHAS]</w:t>
      </w:r>
      <w:r>
        <w:rPr>
          <w:rFonts w:ascii="Arial" w:hAnsi="Arial"/>
          <w:b w:val="0"/>
          <w:i w:val="0"/>
          <w:sz w:val="28"/>
        </w:rPr>
        <w:t>.</w:t>
      </w:r>
    </w:p>
    <w:p>
      <w:pPr>
        <w:spacing w:line="360" w:lineRule="auto"/>
        <w:jc w:val="both"/>
      </w:pPr>
      <w:r>
        <w:rPr>
          <w:rFonts w:ascii="Arial" w:hAnsi="Arial"/>
          <w:b w:val="0"/>
          <w:i w:val="0"/>
          <w:sz w:val="28"/>
        </w:rPr>
        <w:t xml:space="preserve">Una vez consumado el plazo, las gestiones posteriores no pudieron interrumpirlo, porque la interrupción presupone un plazo en curso, y todas ellas, incluida la resolución impugnada, recaen sobre un crédito extinguido. La subsunción es exacta: la resolución impugnada exige un crédito que el artículo 146 del Código Fiscal de la Federación declara extinguido, hipótesis que la fracción IV del artículo 51 de la Ley Federal de Procedimiento Contencioso Administrativo describe cuando la resolución </w:t>
      </w:r>
      <w:r>
        <w:rPr>
          <w:rFonts w:ascii="Arial" w:hAnsi="Arial"/>
          <w:b w:val="0"/>
          <w:i/>
          <w:sz w:val="28"/>
        </w:rPr>
        <w:t>“se dictó en contravención de las disposiciones aplicadas o dejó de aplicar las debidas, en cuanto al fondo del asunto”</w:t>
      </w:r>
      <w:r>
        <w:rPr>
          <w:rFonts w:ascii="Arial" w:hAnsi="Arial"/>
          <w:b w:val="0"/>
          <w:i w:val="0"/>
          <w:sz w:val="28"/>
        </w:rPr>
        <w:t>.</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el artículo 146 del Código Fiscal de la Federación sólo reconoce efecto interruptor a la gestión de cobro hecha del conocimiento del deudor y al reconocimiento que éste haga del crédito; la diligencia practicada en un domicilio distinto del registrado no se hizo del conocimiento de la parte actora, y la carta invitación ni pertenece al procedimiento administrativo de ejecución ni expresa conducta alguna del deudor. Sin ellas, entre dos gestiones válidas transcurrieron más de cinco años y el crédito se extinguió.</w:t>
      </w:r>
    </w:p>
    <w:p>
      <w:pPr>
        <w:spacing w:line="360" w:lineRule="auto"/>
        <w:jc w:val="both"/>
      </w:pPr>
      <w:r>
        <w:rPr>
          <w:rFonts w:ascii="Arial" w:hAnsi="Arial"/>
          <w:b w:val="0"/>
          <w:i w:val="0"/>
          <w:sz w:val="28"/>
        </w:rPr>
        <w:t xml:space="preserve">Por lo expuesto, se solicita a esa Sala Regional declarar fundado este concepto de impugnación, estudiarlo de manera preferente en términos del artículo 50, segundo párrafo, de la Ley Federal de Procedimiento Contencioso Administrativo, y declarar la nulidad de la </w:t>
      </w:r>
      <w:r>
        <w:rPr>
          <w:rFonts w:ascii="Arial" w:hAnsi="Arial"/>
          <w:b/>
          <w:i w:val="0"/>
          <w:sz w:val="28"/>
        </w:rPr>
        <w:t>[RESOLUCIÓN IMPUGNADA]</w:t>
      </w:r>
      <w:r>
        <w:rPr>
          <w:rFonts w:ascii="Arial" w:hAnsi="Arial"/>
          <w:b w:val="0"/>
          <w:i w:val="0"/>
          <w:sz w:val="28"/>
        </w:rPr>
        <w:t xml:space="preserve">, con fundamento en los artículos 51, fracción IV, y 52, fracción II, de ese ordenamiento, así como declarar que el crédito fiscal </w:t>
      </w:r>
      <w:r>
        <w:rPr>
          <w:rFonts w:ascii="Arial" w:hAnsi="Arial"/>
          <w:b/>
          <w:i w:val="0"/>
          <w:sz w:val="28"/>
        </w:rPr>
        <w:t>[NÚMERO DEL CRÉDITO FISCAL]</w:t>
      </w:r>
      <w:r>
        <w:rPr>
          <w:rFonts w:ascii="Arial" w:hAnsi="Arial"/>
          <w:b w:val="0"/>
          <w:i w:val="0"/>
          <w:sz w:val="28"/>
        </w:rPr>
        <w:t xml:space="preserve"> se extinguió por prescripción conforme al artículo 146 del Código Fiscal de la Federación.</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GOMETZ, Gianmarco, </w:t>
      </w:r>
      <w:r>
        <w:rPr>
          <w:rFonts w:ascii="Arial" w:hAnsi="Arial"/>
          <w:i/>
          <w:sz w:val="20"/>
        </w:rPr>
        <w:t>La certeza jurídica como previsibilidad</w:t>
      </w:r>
      <w:r>
        <w:rPr>
          <w:rFonts w:ascii="Arial" w:hAnsi="Arial"/>
          <w:i w:val="0"/>
          <w:sz w:val="20"/>
        </w:rPr>
        <w:t>, trad. de Diego Moreno Cruz y Diego Dei Vecchi, Marcial Pons, Madrid, 2012, p. 207.</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 p. 1561.</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DE PAULA RAMOS, Vitor, </w:t>
      </w:r>
      <w:r>
        <w:rPr>
          <w:rFonts w:ascii="Arial" w:hAnsi="Arial"/>
          <w:i/>
          <w:sz w:val="20"/>
        </w:rPr>
        <w:t>La prueba documental. Del documento a los documentos y del soporte a la información</w:t>
      </w:r>
      <w:r>
        <w:rPr>
          <w:rFonts w:ascii="Arial" w:hAnsi="Arial"/>
          <w:i w:val="0"/>
          <w:sz w:val="20"/>
        </w:rPr>
        <w:t>, trad. de Laura Criado Sánchez, Marcial Pons Ediciones Jurídicas y Sociales, Madrid, 2023, p. 28.</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38.</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GARCÍA DAMBORENEA, op. cit.</w:t>
      </w:r>
      <w:r>
        <w:rPr>
          <w:rFonts w:ascii="Arial" w:hAnsi="Arial"/>
          <w:i w:val="0"/>
          <w:sz w:val="20"/>
        </w:rPr>
        <w:t>, p. 7.</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GARCÍA DAMBORENEA, op. cit.</w:t>
      </w:r>
      <w:r>
        <w:rPr>
          <w:rFonts w:ascii="Arial" w:hAnsi="Arial"/>
          <w:i w:val="0"/>
          <w:sz w:val="20"/>
        </w:rPr>
        <w:t>, p. 64.</w:t>
      </w:r>
    </w:p>
    <w:p/>
    <w:p>
      <w:r>
        <w:rPr>
          <w:rFonts w:ascii="Arial" w:hAnsi="Arial"/>
          <w:b/>
          <w:sz w:val="22"/>
        </w:rPr>
        <w:t>BIBLIOGRAFÍA</w:t>
      </w:r>
    </w:p>
    <w:p>
      <w:pPr>
        <w:spacing w:after="60"/>
        <w:ind w:left="360" w:hanging="360"/>
        <w:jc w:val="both"/>
      </w:pPr>
      <w:r>
        <w:rPr>
          <w:rFonts w:ascii="Arial" w:hAnsi="Arial"/>
          <w:i w:val="0"/>
          <w:sz w:val="20"/>
        </w:rPr>
        <w:t xml:space="preserve">DE PAULA RAMOS, Vitor, </w:t>
      </w:r>
      <w:r>
        <w:rPr>
          <w:rFonts w:ascii="Arial" w:hAnsi="Arial"/>
          <w:i/>
          <w:sz w:val="20"/>
        </w:rPr>
        <w:t>La prueba documental. Del documento a los documentos y del soporte a la información</w:t>
      </w:r>
      <w:r>
        <w:rPr>
          <w:rFonts w:ascii="Arial" w:hAnsi="Arial"/>
          <w:i w:val="0"/>
          <w:sz w:val="20"/>
        </w:rPr>
        <w:t>, trad. de Laura Criado Sánchez, Marcial Pons Ediciones Jurídicas y Sociales, Madrid, 2023.</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GOMETZ, Gianmarco, </w:t>
      </w:r>
      <w:r>
        <w:rPr>
          <w:rFonts w:ascii="Arial" w:hAnsi="Arial"/>
          <w:i/>
          <w:sz w:val="20"/>
        </w:rPr>
        <w:t>La certeza jurídica como previsibilidad</w:t>
      </w:r>
      <w:r>
        <w:rPr>
          <w:rFonts w:ascii="Arial" w:hAnsi="Arial"/>
          <w:i w:val="0"/>
          <w:sz w:val="20"/>
        </w:rPr>
        <w:t>, trad. de Diego Moreno Cruz y Diego Dei Vecchi, Marcial Pons, Madrid, 2012.</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