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NEGATIVA A TRAMITAR LA COMPENSACIÓN DEL ARTÍCULO 23 DEL CFF DURANTE LAS FACULTADES DE COMPROBACIÓN</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reúne las constancias que sostienen los hechos: el oficio de observaciones o la última acta parcial con su notificación, el escrito con el que optaste por corregirte mediante compensación y su acuse, el papel de trabajo y las declaraciones donde constan los saldos a favor, el oficio en que la autoridad rechazó el trámite y la resolución determinante y la del recurso de revocación.</w:t>
      </w:r>
    </w:p>
    <w:p>
      <w:pPr>
        <w:spacing w:line="360" w:lineRule="auto"/>
        <w:jc w:val="both"/>
      </w:pPr>
      <w:r>
        <w:rPr>
          <w:rFonts w:ascii="Arial" w:hAnsi="Arial"/>
          <w:b w:val="0"/>
          <w:i w:val="0"/>
          <w:sz w:val="24"/>
        </w:rPr>
        <w:t>Confirma que la solicitud se presentó dentro del plazo del párrafo octavo del artículo 23 y que los saldos se generaron y declararon antes de presentarla. Después llena los campos editables, verifica cada fecha contra tus documentos y ofrece todas esas constancias como pruebas.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[NÚMERO DE OFICIO DE LA RESOLUCIÓN IMPUGNADA]</w:t>
      </w:r>
      <w:r>
        <w:rPr>
          <w:rFonts w:ascii="Arial" w:hAnsi="Arial"/>
          <w:b w:val="0"/>
          <w:i w:val="0"/>
          <w:sz w:val="24"/>
        </w:rPr>
        <w:t>: el oficio que resolvió el recurso de revocación; si demandas directamente la liquidación, ajusta el planteamiento.</w:t>
      </w:r>
    </w:p>
    <w:p>
      <w:pPr>
        <w:spacing w:line="360" w:lineRule="auto"/>
        <w:jc w:val="both"/>
      </w:pPr>
      <w:r>
        <w:rPr>
          <w:rFonts w:ascii="Arial" w:hAnsi="Arial"/>
          <w:b/>
          <w:i w:val="0"/>
          <w:sz w:val="24"/>
        </w:rPr>
        <w:t>[AUTORIDAD DEMANDADA]</w:t>
      </w:r>
      <w:r>
        <w:rPr>
          <w:rFonts w:ascii="Arial" w:hAnsi="Arial"/>
          <w:b w:val="0"/>
          <w:i w:val="0"/>
          <w:sz w:val="24"/>
        </w:rPr>
        <w:t>: la unidad que resolvió el recurso, con su denominación completa.</w:t>
      </w:r>
    </w:p>
    <w:p>
      <w:pPr>
        <w:spacing w:line="360" w:lineRule="auto"/>
        <w:jc w:val="both"/>
      </w:pPr>
      <w:r>
        <w:rPr>
          <w:rFonts w:ascii="Arial" w:hAnsi="Arial"/>
          <w:b/>
          <w:i w:val="0"/>
          <w:sz w:val="24"/>
        </w:rPr>
        <w:t>[NÚMERO DE OFICIO DE LA RESOLUCIÓN DETERMINANTE]</w:t>
      </w:r>
      <w:r>
        <w:rPr>
          <w:rFonts w:ascii="Arial" w:hAnsi="Arial"/>
          <w:b w:val="0"/>
          <w:i w:val="0"/>
          <w:sz w:val="24"/>
        </w:rPr>
        <w:t>: el oficio de la liquidación.</w:t>
      </w:r>
    </w:p>
    <w:p>
      <w:pPr>
        <w:spacing w:line="360" w:lineRule="auto"/>
        <w:jc w:val="both"/>
      </w:pPr>
      <w:r>
        <w:rPr>
          <w:rFonts w:ascii="Arial" w:hAnsi="Arial"/>
          <w:b/>
          <w:i w:val="0"/>
          <w:sz w:val="24"/>
        </w:rPr>
        <w:t>[NOMBRE DE LA PARTE ACTORA]</w:t>
      </w:r>
      <w:r>
        <w:rPr>
          <w:rFonts w:ascii="Arial" w:hAnsi="Arial"/>
          <w:b w:val="0"/>
          <w:i w:val="0"/>
          <w:sz w:val="24"/>
        </w:rPr>
        <w:t>: la persona o empresa contribuyente.</w:t>
      </w:r>
    </w:p>
    <w:p>
      <w:pPr>
        <w:spacing w:line="360" w:lineRule="auto"/>
        <w:jc w:val="both"/>
      </w:pPr>
      <w:r>
        <w:rPr>
          <w:rFonts w:ascii="Arial" w:hAnsi="Arial"/>
          <w:b/>
          <w:i w:val="0"/>
          <w:sz w:val="24"/>
        </w:rPr>
        <w:t>[AUTORIDAD FISCALIZADORA]</w:t>
      </w:r>
      <w:r>
        <w:rPr>
          <w:rFonts w:ascii="Arial" w:hAnsi="Arial"/>
          <w:b w:val="0"/>
          <w:i w:val="0"/>
          <w:sz w:val="24"/>
        </w:rPr>
        <w:t>: la administración que ejerció las facultades de comprobación y recibió tu solicitud.</w:t>
      </w:r>
    </w:p>
    <w:p>
      <w:pPr>
        <w:spacing w:line="360" w:lineRule="auto"/>
        <w:jc w:val="both"/>
      </w:pPr>
      <w:r>
        <w:rPr>
          <w:rFonts w:ascii="Arial" w:hAnsi="Arial"/>
          <w:b/>
          <w:i w:val="0"/>
          <w:sz w:val="24"/>
        </w:rPr>
        <w:t>[TIPO DE FACULTAD DE COMPROBACIÓN: REVISIÓN DE GABINETE O VISITA DOMICILIARIA]</w:t>
      </w:r>
      <w:r>
        <w:rPr>
          <w:rFonts w:ascii="Arial" w:hAnsi="Arial"/>
          <w:b w:val="0"/>
          <w:i w:val="0"/>
          <w:sz w:val="24"/>
        </w:rPr>
        <w:t>: elige la que corresponda y borra la otra.</w:t>
      </w:r>
    </w:p>
    <w:p>
      <w:pPr>
        <w:spacing w:line="360" w:lineRule="auto"/>
        <w:jc w:val="both"/>
      </w:pPr>
      <w:r>
        <w:rPr>
          <w:rFonts w:ascii="Arial" w:hAnsi="Arial"/>
          <w:b/>
          <w:i w:val="0"/>
          <w:sz w:val="24"/>
        </w:rPr>
        <w:t>[CONTRIBUCIÓN Y PERIODO REVISADOS]</w:t>
      </w:r>
      <w:r>
        <w:rPr>
          <w:rFonts w:ascii="Arial" w:hAnsi="Arial"/>
          <w:b w:val="0"/>
          <w:i w:val="0"/>
          <w:sz w:val="24"/>
        </w:rPr>
        <w:t>: impuesto y periodo objeto de la revisión.</w:t>
      </w:r>
    </w:p>
    <w:p>
      <w:pPr>
        <w:spacing w:line="360" w:lineRule="auto"/>
        <w:jc w:val="both"/>
      </w:pPr>
      <w:r>
        <w:rPr>
          <w:rFonts w:ascii="Arial" w:hAnsi="Arial"/>
          <w:b/>
          <w:i w:val="0"/>
          <w:sz w:val="24"/>
        </w:rPr>
        <w:t>[CONTRIBUCIÓN Y PERIODOS DE LOS SALDOS A FAVOR]</w:t>
      </w:r>
      <w:r>
        <w:rPr>
          <w:rFonts w:ascii="Arial" w:hAnsi="Arial"/>
          <w:b w:val="0"/>
          <w:i w:val="0"/>
          <w:sz w:val="24"/>
        </w:rPr>
        <w:t>: impuesto y periodos de los saldos que pediste aplicar.</w:t>
      </w:r>
    </w:p>
    <w:p>
      <w:pPr>
        <w:spacing w:line="360" w:lineRule="auto"/>
        <w:jc w:val="both"/>
      </w:pPr>
      <w:r>
        <w:rPr>
          <w:rFonts w:ascii="Arial" w:hAnsi="Arial"/>
          <w:b/>
          <w:i w:val="0"/>
          <w:sz w:val="24"/>
        </w:rPr>
        <w:t>[FECHAS DE LAS DECLARACIONES EN QUE SE MANIFESTARON LOS SALDOS A FAVOR]</w:t>
      </w:r>
      <w:r>
        <w:rPr>
          <w:rFonts w:ascii="Arial" w:hAnsi="Arial"/>
          <w:b w:val="0"/>
          <w:i w:val="0"/>
          <w:sz w:val="24"/>
        </w:rPr>
        <w:t>: fechas de presentación de esas declaraciones; deben ser anteriores a la solicitud.</w:t>
      </w:r>
    </w:p>
    <w:p>
      <w:pPr>
        <w:spacing w:line="360" w:lineRule="auto"/>
        <w:jc w:val="both"/>
      </w:pPr>
      <w:r>
        <w:rPr>
          <w:rFonts w:ascii="Arial" w:hAnsi="Arial"/>
          <w:b/>
          <w:i w:val="0"/>
          <w:sz w:val="24"/>
        </w:rPr>
        <w:t>[FECHA DE NOTIFICACIÓN DEL OFICIO DE OBSERVACIONES O DE LA ÚLTIMA ACTA PARCIAL]</w:t>
      </w:r>
      <w:r>
        <w:rPr>
          <w:rFonts w:ascii="Arial" w:hAnsi="Arial"/>
          <w:b w:val="0"/>
          <w:i w:val="0"/>
          <w:sz w:val="24"/>
        </w:rPr>
        <w:t>: fecha en que se notificó o levantó, según el tipo de revisión.</w:t>
      </w:r>
    </w:p>
    <w:p>
      <w:pPr>
        <w:spacing w:line="360" w:lineRule="auto"/>
        <w:jc w:val="both"/>
      </w:pPr>
      <w:r>
        <w:rPr>
          <w:rFonts w:ascii="Arial" w:hAnsi="Arial"/>
          <w:b/>
          <w:i w:val="0"/>
          <w:sz w:val="24"/>
        </w:rPr>
        <w:t>[FECHA DE PRESENTACIÓN DE LA SOLICITUD DE CORRECCIÓN FISCAL]</w:t>
      </w:r>
      <w:r>
        <w:rPr>
          <w:rFonts w:ascii="Arial" w:hAnsi="Arial"/>
          <w:b w:val="0"/>
          <w:i w:val="0"/>
          <w:sz w:val="24"/>
        </w:rPr>
        <w:t>: fecha del acuse de tu escrito.</w:t>
      </w:r>
    </w:p>
    <w:p>
      <w:pPr>
        <w:spacing w:line="360" w:lineRule="auto"/>
        <w:jc w:val="both"/>
      </w:pPr>
      <w:r>
        <w:rPr>
          <w:rFonts w:ascii="Arial" w:hAnsi="Arial"/>
          <w:b/>
          <w:i w:val="0"/>
          <w:sz w:val="24"/>
        </w:rPr>
        <w:t>[NÚMERO Y FECHA DEL OFICIO QUE NEGÓ EL TRÁMITE]</w:t>
      </w:r>
      <w:r>
        <w:rPr>
          <w:rFonts w:ascii="Arial" w:hAnsi="Arial"/>
          <w:b w:val="0"/>
          <w:i w:val="0"/>
          <w:sz w:val="24"/>
        </w:rPr>
        <w:t>: el oficio en que la autoridad dijo no estar en condiciones de aplicar el procedimiento; si nunca respondió, describe el silencio y la liquidación que ignoró la solicitud.</w:t>
      </w:r>
    </w:p>
    <w:p/>
    <w:p>
      <w:pPr>
        <w:spacing w:line="360" w:lineRule="auto"/>
        <w:jc w:val="both"/>
      </w:pPr>
      <w:r>
        <w:rPr>
          <w:rFonts w:ascii="Arial" w:hAnsi="Arial"/>
          <w:b/>
          <w:sz w:val="28"/>
        </w:rPr>
        <w:t>[NÚMERO ORDINAL DEL CONCEPTO] CONCEPTO DE IMPUGNACIÓN. Vicio del procedimiento de comprobación: la autoridad fiscalizadora se negó a admitir y tramitar la solicitud de corrección fiscal mediante la aplicación de saldos a favor prevista en el artículo 23, párrafos sexto a décimo octavo, del Código Fiscal de la Federación, con el pretexto de que no existen las disposiciones generales del párrafo sexto; la negativa afectó las defensas del particular y trascendió a la resolución determinante, actualizando la causal del artículo 51, fracción III, de la Ley Federal de Procedimiento Contencioso Administrativo.</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DE OFICIO DE LA RESOLUCIÓN IMPUGNADA]</w:t>
      </w:r>
      <w:r>
        <w:rPr>
          <w:rFonts w:ascii="Arial" w:hAnsi="Arial"/>
          <w:b w:val="0"/>
          <w:i w:val="0"/>
          <w:sz w:val="28"/>
        </w:rPr>
        <w:t xml:space="preserve">, por la que la </w:t>
      </w:r>
      <w:r>
        <w:rPr>
          <w:rFonts w:ascii="Arial" w:hAnsi="Arial"/>
          <w:b/>
          <w:i w:val="0"/>
          <w:sz w:val="28"/>
        </w:rPr>
        <w:t>[AUTORIDAD DEMANDADA]</w:t>
      </w:r>
      <w:r>
        <w:rPr>
          <w:rFonts w:ascii="Arial" w:hAnsi="Arial"/>
          <w:b w:val="0"/>
          <w:i w:val="0"/>
          <w:sz w:val="28"/>
        </w:rPr>
        <w:t xml:space="preserve"> confirmó la determinante contenida en el oficio </w:t>
      </w:r>
      <w:r>
        <w:rPr>
          <w:rFonts w:ascii="Arial" w:hAnsi="Arial"/>
          <w:b/>
          <w:i w:val="0"/>
          <w:sz w:val="28"/>
        </w:rPr>
        <w:t>[NÚMERO DE OFICIO DE LA RESOLUCIÓN DETERMINANTE]</w:t>
      </w:r>
      <w:r>
        <w:rPr>
          <w:rFonts w:ascii="Arial" w:hAnsi="Arial"/>
          <w:b w:val="0"/>
          <w:i w:val="0"/>
          <w:sz w:val="28"/>
        </w:rPr>
        <w:t xml:space="preserve">, es ilegal porque ambas descansan sobre un procedimiento de comprobación viciado: dentro del plazo del párrafo octavo del artículo 23 del Código Fiscal de la Federación, </w:t>
      </w:r>
      <w:r>
        <w:rPr>
          <w:rFonts w:ascii="Arial" w:hAnsi="Arial"/>
          <w:b/>
          <w:i w:val="0"/>
          <w:sz w:val="28"/>
        </w:rPr>
        <w:t>[NOMBRE DE LA PARTE ACTORA]</w:t>
      </w:r>
      <w:r>
        <w:rPr>
          <w:rFonts w:ascii="Arial" w:hAnsi="Arial"/>
          <w:b w:val="0"/>
          <w:i w:val="0"/>
          <w:sz w:val="28"/>
        </w:rPr>
        <w:t xml:space="preserve"> optó por corregir su situación fiscal aplicando saldos a favor ya generados y declarados, y la </w:t>
      </w:r>
      <w:r>
        <w:rPr>
          <w:rFonts w:ascii="Arial" w:hAnsi="Arial"/>
          <w:b/>
          <w:i w:val="0"/>
          <w:sz w:val="28"/>
        </w:rPr>
        <w:t>[AUTORIDAD FISCALIZADORA]</w:t>
      </w:r>
      <w:r>
        <w:rPr>
          <w:rFonts w:ascii="Arial" w:hAnsi="Arial"/>
          <w:b w:val="0"/>
          <w:i w:val="0"/>
          <w:sz w:val="28"/>
        </w:rPr>
        <w:t xml:space="preserve"> se rehusó a admitir y tramitar esa solicitud.</w:t>
      </w:r>
    </w:p>
    <w:p>
      <w:pPr>
        <w:spacing w:line="360" w:lineRule="auto"/>
        <w:jc w:val="both"/>
      </w:pPr>
      <w:r>
        <w:rPr>
          <w:rFonts w:ascii="Arial" w:hAnsi="Arial"/>
          <w:b w:val="0"/>
          <w:i w:val="0"/>
          <w:sz w:val="28"/>
        </w:rPr>
        <w:t xml:space="preserve">La razón que dio la autoridad fue una sola: que el Servicio de Administración Tributaria no ha publicado las disposiciones de carácter general a que remite el párrafo sexto del artículo 23, de modo que, según su dicho, </w:t>
      </w:r>
      <w:r>
        <w:rPr>
          <w:rFonts w:ascii="Arial" w:hAnsi="Arial"/>
          <w:b w:val="0"/>
          <w:i/>
          <w:sz w:val="28"/>
        </w:rPr>
        <w:t>«no está en condiciones»</w:t>
      </w:r>
      <w:r>
        <w:rPr>
          <w:rFonts w:ascii="Arial" w:hAnsi="Arial"/>
          <w:b w:val="0"/>
          <w:i w:val="0"/>
          <w:sz w:val="28"/>
        </w:rPr>
        <w:t xml:space="preserve"> de aplicar el procedimiento de los párrafos sexto a décimo octavo. Se demostrará que ese motivo es jurídicamente insostenible por cuatro razones concurrentes.</w:t>
      </w:r>
    </w:p>
    <w:p>
      <w:pPr>
        <w:spacing w:line="360" w:lineRule="auto"/>
        <w:jc w:val="both"/>
      </w:pPr>
      <w:r>
        <w:rPr>
          <w:rFonts w:ascii="Arial" w:hAnsi="Arial"/>
          <w:b w:val="0"/>
          <w:i w:val="0"/>
          <w:sz w:val="28"/>
        </w:rPr>
        <w:t>Primera: la reforma que adicionó esos párrafos entró en vigor el 1 de enero de 2023 por disposición expresa del artículo Octavo transitorio, fracción I, del Decreto publicado en el Diario Oficial de la Federación el 12 de noviembre de 2021, de manera que la omisión de expedir las reglas es imputable exclusivamente al órgano desconcentrado y no puede volverse en contra de la persona contribuyente. Segunda: la compensación del párrafo sexto es un derecho sustantivo del contribuyente fiscalizado para extinguir el adeudo, no una gracia cuya existencia dependa de la voluntad de la autoridad.</w:t>
      </w:r>
    </w:p>
    <w:p>
      <w:pPr>
        <w:spacing w:line="360" w:lineRule="auto"/>
        <w:jc w:val="both"/>
      </w:pPr>
      <w:r>
        <w:rPr>
          <w:rFonts w:ascii="Arial" w:hAnsi="Arial"/>
          <w:b w:val="0"/>
          <w:i w:val="0"/>
          <w:sz w:val="28"/>
        </w:rPr>
        <w:t>Tercera: el propio artículo 23 contiene ya el qué, el cómo, el cuándo y el dónde de la solicitud y el procedimiento íntegro para tramitarla, por lo que la falta de reglas generales no deja vacío alguno. Cuarta: la negativa a tramitar la solicitud es un vicio del procedimiento, subsumido en el de facultades de comprobación, que privó a la parte actora de una defensa legal y habría modificado el monto de la determinante; se actualiza la causal del artículo 51, fracción III, y procede la nulidad para efectos del artículo 52, fracción IV, de la Ley Federal de Procedimiento Contencioso Administrativo.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que resolvió el recurso de revocación confirmando la determinante contenida en el oficio </w:t>
      </w:r>
      <w:r>
        <w:rPr>
          <w:rFonts w:ascii="Arial" w:hAnsi="Arial"/>
          <w:b/>
          <w:i w:val="0"/>
          <w:sz w:val="28"/>
        </w:rPr>
        <w:t>[NÚMERO DE OFICIO DE LA RESOLUCIÓN DETERMINANTE]</w:t>
      </w:r>
      <w:r>
        <w:rPr>
          <w:rFonts w:ascii="Arial" w:hAnsi="Arial"/>
          <w:b w:val="0"/>
          <w:i w:val="0"/>
          <w:sz w:val="28"/>
        </w:rPr>
        <w:t xml:space="preserve">, emitida por la </w:t>
      </w:r>
      <w:r>
        <w:rPr>
          <w:rFonts w:ascii="Arial" w:hAnsi="Arial"/>
          <w:b/>
          <w:i w:val="0"/>
          <w:sz w:val="28"/>
        </w:rPr>
        <w:t>[AUTORIDAD FISCALIZADORA]</w:t>
      </w:r>
      <w:r>
        <w:rPr>
          <w:rFonts w:ascii="Arial" w:hAnsi="Arial"/>
          <w:b w:val="0"/>
          <w:i w:val="0"/>
          <w:sz w:val="28"/>
        </w:rPr>
        <w:t xml:space="preserve"> al concluir la </w:t>
      </w:r>
      <w:r>
        <w:rPr>
          <w:rFonts w:ascii="Arial" w:hAnsi="Arial"/>
          <w:b/>
          <w:i w:val="0"/>
          <w:sz w:val="28"/>
        </w:rPr>
        <w:t>[TIPO DE FACULTAD DE COMPROBACIÓN: REVISIÓN DE GABINETE O VISITA DOMICILIARIA]</w:t>
      </w:r>
      <w:r>
        <w:rPr>
          <w:rFonts w:ascii="Arial" w:hAnsi="Arial"/>
          <w:b w:val="0"/>
          <w:i w:val="0"/>
          <w:sz w:val="28"/>
        </w:rPr>
        <w:t xml:space="preserve"> por </w:t>
      </w:r>
      <w:r>
        <w:rPr>
          <w:rFonts w:ascii="Arial" w:hAnsi="Arial"/>
          <w:b/>
          <w:i w:val="0"/>
          <w:sz w:val="28"/>
        </w:rPr>
        <w:t>[CONTRIBUCIÓN Y PERIODO REVISADOS]</w:t>
      </w:r>
      <w:r>
        <w:rPr>
          <w:rFonts w:ascii="Arial" w:hAnsi="Arial"/>
          <w:b w:val="0"/>
          <w:i w:val="0"/>
          <w:sz w:val="28"/>
        </w:rPr>
        <w:t>.</w:t>
      </w:r>
    </w:p>
    <w:p>
      <w:pPr>
        <w:spacing w:line="360" w:lineRule="auto"/>
        <w:jc w:val="both"/>
      </w:pPr>
      <w:r>
        <w:rPr>
          <w:rFonts w:ascii="Arial" w:hAnsi="Arial"/>
          <w:b w:val="0"/>
          <w:i w:val="0"/>
          <w:sz w:val="28"/>
        </w:rPr>
        <w:t>Conforme al principio de litis abierta del artículo 1 de la Ley Federal de Procedimiento Contencioso Administrativo, este concepto se dirige contra ambas resoluciones: el vicio nació en el procedimiento de comprobación y se perpetuó en la resolución del recurso, que lo convalidó con el mismo argumento.</w:t>
      </w:r>
    </w:p>
    <w:p>
      <w:pPr>
        <w:spacing w:line="360" w:lineRule="auto"/>
        <w:jc w:val="both"/>
      </w:pPr>
      <w:r>
        <w:rPr>
          <w:rFonts w:ascii="Arial" w:hAnsi="Arial"/>
          <w:b w:val="0"/>
          <w:i w:val="0"/>
          <w:sz w:val="28"/>
        </w:rPr>
        <w:t>Las normas cuya inobservancia se plantea son el artículo 23, párrafos sexto a décimo octavo, del Código Fiscal de la Federación, que conceden a los contribuyentes sujetos a las facultades del artículo 42, fracciones II y III, del mismo Código la opción de corregir su situación fiscal aplicando las cantidades que tienen derecho a recibir en términos del artículo 22 contra las contribuciones omitidas y sus accesorios, y el artículo Octavo transitorio, fracción I, del Decreto de 12 de noviembre de 2021, que fijó la entrada en vigor de esa reforma.</w:t>
      </w:r>
    </w:p>
    <w:p>
      <w:pPr>
        <w:spacing w:line="360" w:lineRule="auto"/>
        <w:jc w:val="both"/>
      </w:pPr>
      <w:r>
        <w:rPr>
          <w:rFonts w:ascii="Arial" w:hAnsi="Arial"/>
          <w:b w:val="0"/>
          <w:i w:val="0"/>
          <w:sz w:val="28"/>
        </w:rPr>
        <w:t>Se invocan también el artículo 17, tercer párrafo, de la Constitución, que ordena privilegiar la solución del conflicto sobre los formalismos procedimentales, y el artículo 16 constitucional, fuente de los principios de legalidad y seguridad jurídica.</w:t>
      </w:r>
    </w:p>
    <w:p>
      <w:pPr>
        <w:spacing w:line="360" w:lineRule="auto"/>
        <w:jc w:val="both"/>
      </w:pPr>
      <w:r>
        <w:rPr>
          <w:rFonts w:ascii="Arial" w:hAnsi="Arial"/>
          <w:b w:val="0"/>
          <w:i w:val="0"/>
          <w:sz w:val="28"/>
        </w:rPr>
        <w:t xml:space="preserve">El perjuicio es concreto y cuantificable. La parte actora tenía saldos a favor de </w:t>
      </w:r>
      <w:r>
        <w:rPr>
          <w:rFonts w:ascii="Arial" w:hAnsi="Arial"/>
          <w:b/>
          <w:i w:val="0"/>
          <w:sz w:val="28"/>
        </w:rPr>
        <w:t>[CONTRIBUCIÓN Y PERIODOS DE LOS SALDOS A FAVOR]</w:t>
      </w:r>
      <w:r>
        <w:rPr>
          <w:rFonts w:ascii="Arial" w:hAnsi="Arial"/>
          <w:b w:val="0"/>
          <w:i w:val="0"/>
          <w:sz w:val="28"/>
        </w:rPr>
        <w:t xml:space="preserve">, generados y declarados en </w:t>
      </w:r>
      <w:r>
        <w:rPr>
          <w:rFonts w:ascii="Arial" w:hAnsi="Arial"/>
          <w:b/>
          <w:i w:val="0"/>
          <w:sz w:val="28"/>
        </w:rPr>
        <w:t>[FECHAS DE LAS DECLARACIONES EN QUE SE MANIFESTARON LOS SALDOS A FAVOR]</w:t>
      </w:r>
      <w:r>
        <w:rPr>
          <w:rFonts w:ascii="Arial" w:hAnsi="Arial"/>
          <w:b w:val="0"/>
          <w:i w:val="0"/>
          <w:sz w:val="28"/>
        </w:rPr>
        <w:t>, antes de presentar la solicitud; de haberse tramitado ésta, la autoridad habría tenido que comunicarle el monto susceptible de aplicarse, levantar el acta y, en la resolución determinante, informar el monto de la autocorrección y aplicarlo a las partidas corregidas. Nada de eso ocurrió: el crédito se determinó por su importe íntegro, con recargos y multas, como si la solicitud no existiera.</w:t>
      </w:r>
    </w:p>
    <w:p>
      <w:pPr>
        <w:spacing w:line="360" w:lineRule="auto"/>
        <w:jc w:val="both"/>
      </w:pPr>
      <w:r>
        <w:rPr>
          <w:rFonts w:ascii="Arial" w:hAnsi="Arial"/>
          <w:b w:val="0"/>
          <w:i w:val="0"/>
          <w:sz w:val="28"/>
        </w:rPr>
        <w:t>De prosperar este concepto, el beneficio es el mayor que realistamente puede obtenerse respecto de este vicio: la nulidad de la resolución impugnada y de la determinante para que la autoridad fiscalizadora reponga el procedimiento desde la violación, admita a trámite la solicitud y siga los pasos de los párrafos décimo a décimo octavo del artículo 23, antes de decidir si emite o no una nueva liquidación. Se solicita su estudio, conforme al artículo 50, segundo párrafo, de la Ley Federal de Procedimiento Contencioso Administrativo, después de los conceptos que pudieran conducir a una nulidad lisa y llana.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relación entre la ley y las disposiciones que la desarrollan. La doctrina constitucional enseña que el reglamento es una norma subordinada: no puede contrariar la ley ni ir más allá de ella, y el principio de primacía de la ley entraña para el Ejecutivo la obligación de expedir las disposiciones necesarias para su ejecución.</w:t>
      </w:r>
      <w:r>
        <w:rPr>
          <w:rFonts w:ascii="Arial" w:hAnsi="Arial"/>
          <w:vertAlign w:val="superscript"/>
        </w:rPr>
        <w:t>1</w:t>
      </w:r>
      <w:r>
        <w:rPr>
          <w:rFonts w:ascii="Arial" w:hAnsi="Arial"/>
          <w:b w:val="0"/>
          <w:i w:val="0"/>
          <w:sz w:val="28"/>
        </w:rPr>
        <w:t xml:space="preserve"> Lo mismo vale, con mayor razón, para las reglas de carácter general de un órgano desconcentrado: son instrumentos al servicio de la ley, no condiciones de su existencia.</w:t>
      </w:r>
    </w:p>
    <w:p>
      <w:pPr>
        <w:spacing w:line="360" w:lineRule="auto"/>
        <w:jc w:val="both"/>
      </w:pPr>
      <w:r>
        <w:rPr>
          <w:rFonts w:ascii="Arial" w:hAnsi="Arial"/>
          <w:b w:val="0"/>
          <w:i w:val="0"/>
          <w:sz w:val="28"/>
        </w:rPr>
        <w:t>De ahí se sigue una consecuencia elemental: cuando la ley concede un derecho y remite a la autoridad la fijación de requisitos y procedimiento, la remisión es un mandato para la autoridad, no una cláusula suspensiva del derecho. La omisión legislativa en sentido lato consiste precisamente en la ausencia normativa atribuida a un órgano que tiene conferidas facultades para expedir algún tipo de normas, categoría que comprende a la autoridad administrativa dotada de potestad normativa.</w:t>
      </w:r>
      <w:r>
        <w:rPr>
          <w:rFonts w:ascii="Arial" w:hAnsi="Arial"/>
          <w:vertAlign w:val="superscript"/>
        </w:rPr>
        <w:t>2</w:t>
      </w:r>
      <w:r>
        <w:rPr>
          <w:rFonts w:ascii="Arial" w:hAnsi="Arial"/>
          <w:b w:val="0"/>
          <w:i w:val="0"/>
          <w:sz w:val="28"/>
        </w:rPr>
        <w:t xml:space="preserve"> Quien incumple ese mandato no puede invocar su propio incumplimiento para desconocer lo que la ley ya otorgó.</w:t>
      </w:r>
    </w:p>
    <w:p>
      <w:pPr>
        <w:spacing w:line="360" w:lineRule="auto"/>
        <w:jc w:val="both"/>
      </w:pPr>
      <w:r>
        <w:rPr>
          <w:rFonts w:ascii="Arial" w:hAnsi="Arial"/>
          <w:b w:val="0"/>
          <w:i w:val="0"/>
          <w:sz w:val="28"/>
        </w:rPr>
        <w:t>La doctrina lo ha formulado a propósito del derecho de rectificación o respuesta, con una regla que se traslada sin esfuerzo a cualquier derecho de fuente legal: aunque falte la ley reglamentaria, las autoridades deben asegurar el derecho por otra vía, sin que la carencia de desarrollo normativo pueda esgrimirse para dejarlo sin efecto.</w:t>
      </w:r>
      <w:r>
        <w:rPr>
          <w:rFonts w:ascii="Arial" w:hAnsi="Arial"/>
          <w:vertAlign w:val="superscript"/>
        </w:rPr>
        <w:t>3</w:t>
      </w:r>
      <w:r>
        <w:rPr>
          <w:rFonts w:ascii="Arial" w:hAnsi="Arial"/>
          <w:b w:val="0"/>
          <w:i w:val="0"/>
          <w:sz w:val="28"/>
        </w:rPr>
        <w:t xml:space="preserve"> Trasladada al caso, la regla significa que la autoridad fiscalizadora, ante una solicitud fundada en el párrafo sexto del artículo 23, debía tramitarla con los elementos que la propia ley ofrece, y no devolverla a la persona contribuyente con la noticia de que el reglamento no existe.</w:t>
      </w:r>
    </w:p>
    <w:p>
      <w:pPr>
        <w:spacing w:line="360" w:lineRule="auto"/>
        <w:jc w:val="both"/>
      </w:pPr>
      <w:r>
        <w:rPr>
          <w:rFonts w:ascii="Arial" w:hAnsi="Arial"/>
          <w:b w:val="0"/>
          <w:i w:val="0"/>
          <w:sz w:val="28"/>
        </w:rPr>
        <w:t xml:space="preserve">Sobre esa base debe leerse el precepto. El párrafo sexto del artículo 23 del Código Fiscal de la Federación dispone que los contribuyentes sujetos a las facultades del artículo 42, fracciones II y III, </w:t>
      </w:r>
      <w:r>
        <w:rPr>
          <w:rFonts w:ascii="Arial" w:hAnsi="Arial"/>
          <w:b w:val="0"/>
          <w:i/>
          <w:sz w:val="28"/>
        </w:rPr>
        <w:t>«podrán optar por corregir su situación fiscal a través de la aplicación de las cantidades que tengan derecho a recibir de las autoridades fiscales por cualquier concepto en términos de lo dispuesto por el artículo 22 de este Código, contra las contribuciones omitidas y sus accesorios»</w:t>
      </w:r>
      <w:r>
        <w:rPr>
          <w:rFonts w:ascii="Arial" w:hAnsi="Arial"/>
          <w:b w:val="0"/>
          <w:i w:val="0"/>
          <w:sz w:val="28"/>
        </w:rPr>
        <w:t xml:space="preserve">, siempre que esas cantidades </w:t>
      </w:r>
      <w:r>
        <w:rPr>
          <w:rFonts w:ascii="Arial" w:hAnsi="Arial"/>
          <w:b w:val="0"/>
          <w:i/>
          <w:sz w:val="28"/>
        </w:rPr>
        <w:t>«se hayan generado y declarado de manera previa a que el contribuyente presente la solicitud»</w:t>
      </w:r>
      <w:r>
        <w:rPr>
          <w:rFonts w:ascii="Arial" w:hAnsi="Arial"/>
          <w:b w:val="0"/>
          <w:i w:val="0"/>
          <w:sz w:val="28"/>
        </w:rPr>
        <w:t>.</w:t>
      </w:r>
    </w:p>
    <w:p>
      <w:pPr>
        <w:spacing w:line="360" w:lineRule="auto"/>
        <w:jc w:val="both"/>
      </w:pPr>
      <w:r>
        <w:rPr>
          <w:rFonts w:ascii="Arial" w:hAnsi="Arial"/>
          <w:b w:val="0"/>
          <w:i w:val="0"/>
          <w:sz w:val="28"/>
        </w:rPr>
        <w:t>El párrafo séptimo enuncia las excepciones: cantidades negadas en devolución o cuya obligación de devolver prescribió, las derivadas de una resolución de recurso o de una sentencia, y los remanentes de saldos a favor del impuesto al valor agregado ya acreditados. El párrafo octavo fija la temporalidad: la solicitud puede presentarse desde el día hábil siguiente a aquel en que surta efectos la notificación del oficio de observaciones o se levante la última acta parcial, y hasta el vencimiento del plazo que ese párrafo señala con referencia al artículo 48, fracciones VI o VII, o al acta final de visita.</w:t>
      </w:r>
    </w:p>
    <w:p>
      <w:pPr>
        <w:spacing w:line="360" w:lineRule="auto"/>
        <w:jc w:val="both"/>
      </w:pPr>
      <w:r>
        <w:rPr>
          <w:rFonts w:ascii="Arial" w:hAnsi="Arial"/>
          <w:b w:val="0"/>
          <w:i w:val="0"/>
          <w:sz w:val="28"/>
        </w:rPr>
        <w:t>El párrafo noveno describe el contenido de la solicitud: los montos y rubros por los que se pide la corrección. Los párrafos décimo a décimo octavo agotan el procedimiento: la autoridad ante la que se presenta la solicitud puede requerir datos, informes o documentos adicionales dentro del plazo del párrafo décimo, y el contribuyente debe cumplir en el plazo del párrafo décimo primero, sin prórroga y bajo apercibimiento de tenerlo por desistido; ese requerimiento no se considera inicio de facultades de comprobación.</w:t>
      </w:r>
    </w:p>
    <w:p>
      <w:pPr>
        <w:spacing w:line="360" w:lineRule="auto"/>
        <w:jc w:val="both"/>
      </w:pPr>
      <w:r>
        <w:rPr>
          <w:rFonts w:ascii="Arial" w:hAnsi="Arial"/>
          <w:b w:val="0"/>
          <w:i w:val="0"/>
          <w:sz w:val="28"/>
        </w:rPr>
        <w:t>Después, la autoridad cita al contribuyente para comunicarle el monto susceptible de aplicarse y levanta acta circunstanciada, sobre la cual éste manifiesta si acepta o no; y en la resolución determinante del artículo 50 del propio Código informa el monto de la autocorrección y lo aplica a las partidas corregidas.</w:t>
      </w:r>
    </w:p>
    <w:p>
      <w:pPr>
        <w:spacing w:line="360" w:lineRule="auto"/>
        <w:jc w:val="both"/>
      </w:pPr>
      <w:r>
        <w:rPr>
          <w:rFonts w:ascii="Arial" w:hAnsi="Arial"/>
          <w:b w:val="0"/>
          <w:i w:val="0"/>
          <w:sz w:val="28"/>
        </w:rPr>
        <w:t>El cuadro es completo: sujeto, objeto, excepciones, condición, plazo, autoridad receptora, contenido, requerimiento, cumplimiento, citación, acta, aceptación y aplicación. Lo que el legislador confió a las disposiciones de carácter general es la forma de presentación y los requisitos documentales: el detalle operativo de una facilidad cuyos elementos esenciales ya están en la ley. Como lo ha reconocido la Sala en casos análogos, el artículo 23 establece los elementos mínimos del qué, cómo, cuándo y dónde de la solicitud, y la falta de reglas generales no restringe el acceso a la facilidad.</w:t>
      </w:r>
    </w:p>
    <w:p>
      <w:pPr>
        <w:spacing w:line="360" w:lineRule="auto"/>
        <w:jc w:val="both"/>
      </w:pPr>
      <w:r>
        <w:rPr>
          <w:rFonts w:ascii="Arial" w:hAnsi="Arial"/>
          <w:b w:val="0"/>
          <w:i w:val="0"/>
          <w:sz w:val="28"/>
        </w:rPr>
        <w:t xml:space="preserve">A ello se suma la entrada en vigor. El artículo Octavo transitorio, fracción I, del Decreto publicado en el Diario Oficial de la Federación el 12 de noviembre de 2021 dispuso que la reforma al artículo 23 </w:t>
      </w:r>
      <w:r>
        <w:rPr>
          <w:rFonts w:ascii="Arial" w:hAnsi="Arial"/>
          <w:b w:val="0"/>
          <w:i/>
          <w:sz w:val="28"/>
        </w:rPr>
        <w:t>«entrará en vigor el 1 de enero de 2023»</w:t>
      </w:r>
      <w:r>
        <w:rPr>
          <w:rFonts w:ascii="Arial" w:hAnsi="Arial"/>
          <w:b w:val="0"/>
          <w:i w:val="0"/>
          <w:sz w:val="28"/>
        </w:rPr>
        <w:t>. El legislador concedió así una vacatio legis de más de un año para que el Servicio de Administración Tributaria preparara las disposiciones necesarias. Ese lapso transcurrió, y después de él la norma rige con plenitud: un derecho vigente no puede quedar en suspenso porque su destinatario institucional no haya cumplido su encargo.</w:t>
      </w:r>
    </w:p>
    <w:p>
      <w:pPr>
        <w:spacing w:line="360" w:lineRule="auto"/>
        <w:jc w:val="both"/>
      </w:pPr>
      <w:r>
        <w:rPr>
          <w:rFonts w:ascii="Arial" w:hAnsi="Arial"/>
          <w:b w:val="0"/>
          <w:i w:val="0"/>
          <w:sz w:val="28"/>
        </w:rPr>
        <w:t>Importa también la naturaleza de la figura. La compensación del párrafo sexto no es una simple facilidad de carácter graciable, sino una institución sustantiva: un medio de extinción del adeudo fiscal que la ley pone en manos del contribuyente fiscalizado, coherente con el principio de autodeterminación del artículo 6 del Código y con el derecho a obtener la devolución del artículo 22, primer párrafo, como lo ha reconocido la Sala en casos análogos.</w:t>
      </w:r>
    </w:p>
    <w:p>
      <w:pPr>
        <w:spacing w:line="360" w:lineRule="auto"/>
        <w:jc w:val="both"/>
      </w:pPr>
      <w:r>
        <w:rPr>
          <w:rFonts w:ascii="Arial" w:hAnsi="Arial"/>
          <w:b w:val="0"/>
          <w:i w:val="0"/>
          <w:sz w:val="28"/>
        </w:rPr>
        <w:t>Finalmente, el requisito del párrafo noveno sobre montos y rubros es una norma imperfecta. La teoría general distingue las leyes por su sanción y llama imperfectas a las que no están provistas de ninguna, categoría abundante en el derecho público.</w:t>
      </w:r>
      <w:r>
        <w:rPr>
          <w:rFonts w:ascii="Arial" w:hAnsi="Arial"/>
          <w:vertAlign w:val="superscript"/>
        </w:rPr>
        <w:t>4</w:t>
      </w:r>
      <w:r>
        <w:rPr>
          <w:rFonts w:ascii="Arial" w:hAnsi="Arial"/>
          <w:b w:val="0"/>
          <w:i w:val="0"/>
          <w:sz w:val="28"/>
        </w:rPr>
        <w:t xml:space="preserve"> El artículo 23 no prevé desechamiento ni requerimiento para la solicitud que omite el desglose; las únicas consecuencias restrictivas, el requerimiento y el desistimiento, están en los párrafos décimo y décimo primero y operan sólo si la autoridad pide información adicional. Y es la autoridad quien, conforme al párrafo décimo tercero, determina y comunica la cantidad aplicable.</w:t>
      </w:r>
    </w:p>
    <w:p>
      <w:pPr>
        <w:spacing w:line="360" w:lineRule="auto"/>
        <w:jc w:val="both"/>
      </w:pPr>
      <w:r>
        <w:rPr>
          <w:rFonts w:ascii="Arial" w:hAnsi="Arial"/>
          <w:b w:val="0"/>
          <w:i w:val="0"/>
          <w:sz w:val="28"/>
        </w:rPr>
        <w:t>Todo lo anterior converge en el artículo 17, tercer párrafo, de la Constitución, que ordena a las autoridades, en los juicios y procedimientos seguidos en forma de juicio, privilegiar la solución del conflicto sobre los formalismos procedimentales. Rehusar el trámite de una solicitud vigente y oportuna por la ausencia de una regla de forma que la propia autoridad debía dictar es el formalismo en su expresión más pura: sólo produce un crédito más alto que el que la ley permite exigir.</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encuadran con exactitud en la premisa expuesta. El oficio de observaciones, o la última acta parcial, se notificó a la parte actora el </w:t>
      </w:r>
      <w:r>
        <w:rPr>
          <w:rFonts w:ascii="Arial" w:hAnsi="Arial"/>
          <w:b/>
          <w:i w:val="0"/>
          <w:sz w:val="28"/>
        </w:rPr>
        <w:t>[FECHA DE NOTIFICACIÓN DEL OFICIO DE OBSERVACIONES O DE LA ÚLTIMA ACTA PARCIAL]</w:t>
      </w:r>
      <w:r>
        <w:rPr>
          <w:rFonts w:ascii="Arial" w:hAnsi="Arial"/>
          <w:b w:val="0"/>
          <w:i w:val="0"/>
          <w:sz w:val="28"/>
        </w:rPr>
        <w:t xml:space="preserve">. El </w:t>
      </w:r>
      <w:r>
        <w:rPr>
          <w:rFonts w:ascii="Arial" w:hAnsi="Arial"/>
          <w:b/>
          <w:i w:val="0"/>
          <w:sz w:val="28"/>
        </w:rPr>
        <w:t>[FECHA DE PRESENTACIÓN DE LA SOLICITUD DE CORRECCIÓN FISCAL]</w:t>
      </w:r>
      <w:r>
        <w:rPr>
          <w:rFonts w:ascii="Arial" w:hAnsi="Arial"/>
          <w:b w:val="0"/>
          <w:i w:val="0"/>
          <w:sz w:val="28"/>
        </w:rPr>
        <w:t xml:space="preserve">, dentro del plazo del párrafo octavo del artículo 23, la parte actora presentó ante la </w:t>
      </w:r>
      <w:r>
        <w:rPr>
          <w:rFonts w:ascii="Arial" w:hAnsi="Arial"/>
          <w:b/>
          <w:i w:val="0"/>
          <w:sz w:val="28"/>
        </w:rPr>
        <w:t>[AUTORIDAD FISCALIZADORA]</w:t>
      </w:r>
      <w:r>
        <w:rPr>
          <w:rFonts w:ascii="Arial" w:hAnsi="Arial"/>
          <w:b w:val="0"/>
          <w:i w:val="0"/>
          <w:sz w:val="28"/>
        </w:rPr>
        <w:t xml:space="preserve"> un escrito en el que, además de desvirtuar las observaciones, optó expresamente por corregir su situación fiscal mediante la aplicación de sus saldos a favor de </w:t>
      </w:r>
      <w:r>
        <w:rPr>
          <w:rFonts w:ascii="Arial" w:hAnsi="Arial"/>
          <w:b/>
          <w:i w:val="0"/>
          <w:sz w:val="28"/>
        </w:rPr>
        <w:t>[CONTRIBUCIÓN Y PERIODOS DE LOS SALDOS A FAVOR]</w:t>
      </w:r>
      <w:r>
        <w:rPr>
          <w:rFonts w:ascii="Arial" w:hAnsi="Arial"/>
          <w:b w:val="0"/>
          <w:i w:val="0"/>
          <w:sz w:val="28"/>
        </w:rPr>
        <w:t>.</w:t>
      </w:r>
    </w:p>
    <w:p>
      <w:pPr>
        <w:spacing w:line="360" w:lineRule="auto"/>
        <w:jc w:val="both"/>
      </w:pPr>
      <w:r>
        <w:rPr>
          <w:rFonts w:ascii="Arial" w:hAnsi="Arial"/>
          <w:b w:val="0"/>
          <w:i w:val="0"/>
          <w:sz w:val="28"/>
        </w:rPr>
        <w:t>Acompañó el papel de trabajo con la actualización de esos saldos y las declaraciones en que fueron manifestados. Concurren, pues, todos los elementos del párrafo sexto: la parte actora estaba sujeta a facultades de comprobación de las previstas en el artículo 42, fracciones II y III; las cantidades que pretendía aplicar se generaron y declararon antes de la solicitud; ninguna cae en las excepciones del párrafo séptimo; y la solicitud se presentó ante la autoridad que emitió el oficio de observaciones, dentro del plazo del párrafo octavo, con expresión del monto de saldos a favor por el que se pedía la corrección.</w:t>
      </w:r>
    </w:p>
    <w:p>
      <w:pPr>
        <w:spacing w:line="360" w:lineRule="auto"/>
        <w:jc w:val="both"/>
      </w:pPr>
      <w:r>
        <w:rPr>
          <w:rFonts w:ascii="Arial" w:hAnsi="Arial"/>
          <w:b w:val="0"/>
          <w:i w:val="0"/>
          <w:sz w:val="28"/>
        </w:rPr>
        <w:t xml:space="preserve">La </w:t>
      </w:r>
      <w:r>
        <w:rPr>
          <w:rFonts w:ascii="Arial" w:hAnsi="Arial"/>
          <w:b/>
          <w:i w:val="0"/>
          <w:sz w:val="28"/>
        </w:rPr>
        <w:t>[AUTORIDAD FISCALIZADORA]</w:t>
      </w:r>
      <w:r>
        <w:rPr>
          <w:rFonts w:ascii="Arial" w:hAnsi="Arial"/>
          <w:b w:val="0"/>
          <w:i w:val="0"/>
          <w:sz w:val="28"/>
        </w:rPr>
        <w:t xml:space="preserve">, mediante el oficio </w:t>
      </w:r>
      <w:r>
        <w:rPr>
          <w:rFonts w:ascii="Arial" w:hAnsi="Arial"/>
          <w:b/>
          <w:i w:val="0"/>
          <w:sz w:val="28"/>
        </w:rPr>
        <w:t>[NÚMERO Y FECHA DEL OFICIO QUE NEGÓ EL TRÁMITE]</w:t>
      </w:r>
      <w:r>
        <w:rPr>
          <w:rFonts w:ascii="Arial" w:hAnsi="Arial"/>
          <w:b w:val="0"/>
          <w:i w:val="0"/>
          <w:sz w:val="28"/>
        </w:rPr>
        <w:t xml:space="preserve">, respondió que no estaba en condiciones de aplicar el procedimiento de los párrafos sexto a décimo octavo del artículo 23 </w:t>
      </w:r>
      <w:r>
        <w:rPr>
          <w:rFonts w:ascii="Arial" w:hAnsi="Arial"/>
          <w:b w:val="0"/>
          <w:i/>
          <w:sz w:val="28"/>
        </w:rPr>
        <w:t>«al no estar publicadas las disposiciones de carácter general»</w:t>
      </w:r>
      <w:r>
        <w:rPr>
          <w:rFonts w:ascii="Arial" w:hAnsi="Arial"/>
          <w:b w:val="0"/>
          <w:i w:val="0"/>
          <w:sz w:val="28"/>
        </w:rPr>
        <w:t xml:space="preserve"> del párrafo sexto, y determinó el crédito por su importe total. La </w:t>
      </w:r>
      <w:r>
        <w:rPr>
          <w:rFonts w:ascii="Arial" w:hAnsi="Arial"/>
          <w:b/>
          <w:i w:val="0"/>
          <w:sz w:val="28"/>
        </w:rPr>
        <w:t>[AUTORIDAD DEMANDADA]</w:t>
      </w:r>
      <w:r>
        <w:rPr>
          <w:rFonts w:ascii="Arial" w:hAnsi="Arial"/>
          <w:b w:val="0"/>
          <w:i w:val="0"/>
          <w:sz w:val="28"/>
        </w:rPr>
        <w:t>, al resolver el recurso de revocación, confirmó la determinante con el mismo argumento, y añadió que la corrección fiscal no requería autorización y pudo hacerse en cualquier momento antes de la notificación de la liquidación.</w:t>
      </w:r>
    </w:p>
    <w:p>
      <w:pPr>
        <w:spacing w:line="360" w:lineRule="auto"/>
        <w:jc w:val="both"/>
      </w:pPr>
      <w:r>
        <w:rPr>
          <w:rFonts w:ascii="Arial" w:hAnsi="Arial"/>
          <w:b w:val="0"/>
          <w:i w:val="0"/>
          <w:sz w:val="28"/>
        </w:rPr>
        <w:t>La subsunción es directa. La autoridad estaba obligada a admitir a trámite la solicitud y a seguir el procedimiento de los párrafos décimo a décimo octavo; no lo hizo; luego el procedimiento de comprobación omitió un acto que la ley impone. Esa omisión afectó las defensas de la parte actora, privada de la vía de corrección que la ley le concede, y trascendió al sentido de la determinante, cuyo monto habría sido distinto de aplicarse los saldos a favor conforme al párrafo décimo cuarto. Se actualiza, por tanto, la causal del artículo 51, fracción III, de la Ley Federal de Procedimiento Contencioso Administrativo.</w:t>
      </w:r>
    </w:p>
    <w:p>
      <w:pPr>
        <w:spacing w:line="360" w:lineRule="auto"/>
        <w:jc w:val="both"/>
      </w:pPr>
      <w:r>
        <w:rPr>
          <w:rFonts w:ascii="Arial" w:hAnsi="Arial"/>
          <w:b w:val="0"/>
          <w:i w:val="0"/>
          <w:sz w:val="28"/>
        </w:rPr>
        <w:t>Frente a ello, la motivación de la autoridad es lógicamente inválida. En primer lugar, incurre en la falacia del non sequitur, nombre genérico de los argumentos en que la conclusión no se sigue de las premisas.</w:t>
      </w:r>
      <w:r>
        <w:rPr>
          <w:rFonts w:ascii="Arial" w:hAnsi="Arial"/>
          <w:vertAlign w:val="superscript"/>
        </w:rPr>
        <w:t>5</w:t>
      </w:r>
      <w:r>
        <w:rPr>
          <w:rFonts w:ascii="Arial" w:hAnsi="Arial"/>
          <w:b w:val="0"/>
          <w:i w:val="0"/>
          <w:sz w:val="28"/>
        </w:rPr>
        <w:t xml:space="preserve"> De la premisa </w:t>
      </w:r>
      <w:r>
        <w:rPr>
          <w:rFonts w:ascii="Arial" w:hAnsi="Arial"/>
          <w:b w:val="0"/>
          <w:i/>
          <w:sz w:val="28"/>
        </w:rPr>
        <w:t>«no existen disposiciones de carácter general»</w:t>
      </w:r>
      <w:r>
        <w:rPr>
          <w:rFonts w:ascii="Arial" w:hAnsi="Arial"/>
          <w:b w:val="0"/>
          <w:i w:val="0"/>
          <w:sz w:val="28"/>
        </w:rPr>
        <w:t xml:space="preserve"> la autoridad extrae la conclusión </w:t>
      </w:r>
      <w:r>
        <w:rPr>
          <w:rFonts w:ascii="Arial" w:hAnsi="Arial"/>
          <w:b w:val="0"/>
          <w:i/>
          <w:sz w:val="28"/>
        </w:rPr>
        <w:t>«no puedo tramitar la solicitud»</w:t>
      </w:r>
      <w:r>
        <w:rPr>
          <w:rFonts w:ascii="Arial" w:hAnsi="Arial"/>
          <w:b w:val="0"/>
          <w:i w:val="0"/>
          <w:sz w:val="28"/>
        </w:rPr>
        <w:t>. Falta el eslabón: sólo si las reglas fueran el único lugar donde constan los elementos del trámite, su ausencia lo impediría. Y ese eslabón es falso, porque los párrafos sexto a décimo octavo contienen todo lo necesario para recibir, verificar, cuantificar y aplicar la compensación.</w:t>
      </w:r>
    </w:p>
    <w:p>
      <w:pPr>
        <w:spacing w:line="360" w:lineRule="auto"/>
        <w:jc w:val="both"/>
      </w:pPr>
      <w:r>
        <w:rPr>
          <w:rFonts w:ascii="Arial" w:hAnsi="Arial"/>
          <w:b w:val="0"/>
          <w:i w:val="0"/>
          <w:sz w:val="28"/>
        </w:rPr>
        <w:t>En segundo lugar, la autoridad incurre en la falacia del embudo, que consiste en rechazar la aplicación de una regla apelando a excepciones infundadas.</w:t>
      </w:r>
      <w:r>
        <w:rPr>
          <w:rFonts w:ascii="Arial" w:hAnsi="Arial"/>
          <w:vertAlign w:val="superscript"/>
        </w:rPr>
        <w:t>6</w:t>
      </w:r>
      <w:r>
        <w:rPr>
          <w:rFonts w:ascii="Arial" w:hAnsi="Arial"/>
          <w:b w:val="0"/>
          <w:i w:val="0"/>
          <w:sz w:val="28"/>
        </w:rPr>
        <w:t xml:space="preserve"> La regla es que las normas vigentes del Código obligan a la autoridad desde su entrada en vigor; la </w:t>
      </w:r>
      <w:r>
        <w:rPr>
          <w:rFonts w:ascii="Arial" w:hAnsi="Arial"/>
          <w:b w:val="0"/>
          <w:i/>
          <w:sz w:val="28"/>
        </w:rPr>
        <w:t>«excepción»</w:t>
      </w:r>
      <w:r>
        <w:rPr>
          <w:rFonts w:ascii="Arial" w:hAnsi="Arial"/>
          <w:b w:val="0"/>
          <w:i w:val="0"/>
          <w:sz w:val="28"/>
        </w:rPr>
        <w:t xml:space="preserve"> que la autoridad se concede es que el artículo 23 no la obliga mientras ella misma no dicte las reglas complementarias. Ninguna norma la exceptúa: ni el transitorio, que fijó una fecha cierta de vigencia, ni el propio artículo 23, que remite a las reglas generales para los requisitos de la solicitud, no para la existencia del derecho.</w:t>
      </w:r>
    </w:p>
    <w:p>
      <w:pPr>
        <w:spacing w:line="360" w:lineRule="auto"/>
        <w:jc w:val="both"/>
      </w:pPr>
      <w:r>
        <w:rPr>
          <w:rFonts w:ascii="Arial" w:hAnsi="Arial"/>
          <w:b w:val="0"/>
          <w:i w:val="0"/>
          <w:sz w:val="28"/>
        </w:rPr>
        <w:t>La excepción es además perversa en su estructura, porque quien la invoca es el mismo sujeto cuya omisión la produce. Si bastara con no expedir las disposiciones de carácter general para que la facilidad no rigiera, el órgano desconcentrado podría derogar de hecho una norma del Congreso mediante la simple inactividad, invirtiendo la subordinación del reglamento a la ley y vaciando la seguridad jurídica que protege el artículo 16 constitucional.</w:t>
      </w:r>
    </w:p>
    <w:p>
      <w:pPr>
        <w:spacing w:line="360" w:lineRule="auto"/>
        <w:jc w:val="both"/>
      </w:pPr>
      <w:r>
        <w:rPr>
          <w:rFonts w:ascii="Arial" w:hAnsi="Arial"/>
          <w:b w:val="0"/>
          <w:i w:val="0"/>
          <w:sz w:val="28"/>
        </w:rPr>
        <w:t>El argumento añadido en la resolución del recurso, según el cual la parte actora pudo corregirse en cualquier momento sin autorización, desconoce la mecánica del precepto y deforma la pretensión que rechaza. La corrección ordinaria, mediante declaraciones complementarias y pago, es una vía distinta de la del párrafo sexto, que consiste en aplicar saldos a favor contra las contribuciones observadas dentro del procedimiento de comprobación, con intervención necesaria de la autoridad: es ella quien requiere, cita, cuantifica en acta y aplica en la liquidación. La parte actora no podía sustituir esos actos; por eso los pidió.</w:t>
      </w:r>
    </w:p>
    <w:p>
      <w:pPr>
        <w:spacing w:line="360" w:lineRule="auto"/>
        <w:jc w:val="both"/>
      </w:pPr>
      <w:r>
        <w:rPr>
          <w:rFonts w:ascii="Arial" w:hAnsi="Arial"/>
          <w:b w:val="0"/>
          <w:i w:val="0"/>
          <w:sz w:val="28"/>
        </w:rPr>
        <w:t>Tampoco puede oponerse que la solicitud no desglosó montos y rubros por partida. Como quedó expuesto, el párrafo noveno es una norma imperfecta: no anuda consecuencia alguna a esa omisión, el procedimiento no autoriza a desechar ni a requerir por ese motivo, y la autoridad conserva, en el párrafo décimo tercero, el imperio de fijar la cantidad susceptible de aplicarse y de comunicarla en acta, ante lo cual la parte actora tendría expedito su derecho a aceptar o no. El detalle era, en todo caso, un dato que la autoridad podía obtener con el requerimiento del párrafo décimo, nunca un pretexto para negar el trámite.</w:t>
      </w:r>
    </w:p>
    <w:p>
      <w:pPr>
        <w:spacing w:line="360" w:lineRule="auto"/>
        <w:jc w:val="both"/>
      </w:pPr>
      <w:r>
        <w:rPr>
          <w:rFonts w:ascii="Arial" w:hAnsi="Arial"/>
          <w:b w:val="0"/>
          <w:i w:val="0"/>
          <w:sz w:val="28"/>
        </w:rPr>
        <w:t>Por último, el vicio no es inocuo. El artículo 23, párrafo décimo cuarto, ordena que la resolución determinante del artículo 50 del propio Código informe el monto de la autocorrección y lo aplique a todas las partidas por las que el contribuyente solicitó corregirse. La determinante impugnada, al omitir ese paso, exige el importe íntegro de las contribuciones observadas, más recargos y multas calculados sobre esa base. La diferencia entre lo que la ley permite cobrar y lo que se cobró es la medida exacta de la trascendencia del vicio al sentido del acto.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artículo 23, párrafos sexto a décimo octavo, del Código Fiscal de la Federación rige desde el 1 de enero de 2023 y contiene por sí mismo los elementos de la solicitud y el procedimiento para tramitarla; la parte actora presentó su solicitud en tiempo, ante la autoridad que ejercía las facultades y con saldos a favor generados y declarados previamente; la autoridad se negó a tramitarla con un motivo que no se sigue de la ley y que descansa en su propia omisión; y esa negativa privó a la parte actora de una defensa legal y elevó el monto de la determinante. El vicio trascendió al resultado.</w:t>
      </w:r>
    </w:p>
    <w:p>
      <w:pPr>
        <w:spacing w:line="360" w:lineRule="auto"/>
        <w:jc w:val="both"/>
      </w:pPr>
      <w:r>
        <w:rPr>
          <w:rFonts w:ascii="Arial" w:hAnsi="Arial"/>
          <w:b w:val="0"/>
          <w:i w:val="0"/>
          <w:sz w:val="28"/>
        </w:rPr>
        <w:t xml:space="preserve">Por lo expuesto, procede declarar fundado este concepto y decretar la nulidad de la resolución impugnada y de la determinante, con fundamento en los artículos 51, fracción III, y 52, fracción IV, de la Ley Federal de Procedimiento Contencioso Administrativo, para el efecto de que la </w:t>
      </w:r>
      <w:r>
        <w:rPr>
          <w:rFonts w:ascii="Arial" w:hAnsi="Arial"/>
          <w:b/>
          <w:i w:val="0"/>
          <w:sz w:val="28"/>
        </w:rPr>
        <w:t>[AUTORIDAD FISCALIZADORA]</w:t>
      </w:r>
      <w:r>
        <w:rPr>
          <w:rFonts w:ascii="Arial" w:hAnsi="Arial"/>
          <w:b w:val="0"/>
          <w:i w:val="0"/>
          <w:sz w:val="28"/>
        </w:rPr>
        <w:t xml:space="preserve"> reponga el procedimiento a partir de la violación, admita a trámite la solicitud de </w:t>
      </w:r>
      <w:r>
        <w:rPr>
          <w:rFonts w:ascii="Arial" w:hAnsi="Arial"/>
          <w:b/>
          <w:i w:val="0"/>
          <w:sz w:val="28"/>
        </w:rPr>
        <w:t>[FECHA DE PRESENTACIÓN DE LA SOLICITUD DE CORRECCIÓN FISCAL]</w:t>
      </w:r>
      <w:r>
        <w:rPr>
          <w:rFonts w:ascii="Arial" w:hAnsi="Arial"/>
          <w:b w:val="0"/>
          <w:i w:val="0"/>
          <w:sz w:val="28"/>
        </w:rPr>
        <w:t xml:space="preserve"> y siga el procedimiento de los párrafos sexto a décimo octavo del artículo 23 del Código Fiscal de la Federación, sujetándose, en su caso, al artículo 57 de la ley citada.</w:t>
      </w:r>
    </w:p>
    <w:p>
      <w:pPr>
        <w:spacing w:line="360" w:lineRule="auto"/>
        <w:jc w:val="both"/>
      </w:pPr>
      <w:r>
        <w:rPr>
          <w:rFonts w:ascii="Arial" w:hAnsi="Arial"/>
          <w:b w:val="0"/>
          <w:i w:val="0"/>
          <w:sz w:val="28"/>
        </w:rPr>
        <w:t xml:space="preserve">Se solicita asimismo que la sentencia precise que, hasta que la autoridad concluya ese procedimiento y aplique los saldos a favor en la forma del párrafo décimo cuarto, no puede subsistir liquidación alguna por </w:t>
      </w:r>
      <w:r>
        <w:rPr>
          <w:rFonts w:ascii="Arial" w:hAnsi="Arial"/>
          <w:b/>
          <w:i w:val="0"/>
          <w:sz w:val="28"/>
        </w:rPr>
        <w:t>[CONTRIBUCIÓN Y PERIODO REVISADOS]</w:t>
      </w:r>
      <w:r>
        <w:rPr>
          <w:rFonts w:ascii="Arial" w:hAnsi="Arial"/>
          <w:b w:val="0"/>
          <w:i w:val="0"/>
          <w:sz w:val="28"/>
        </w:rPr>
        <w:t xml:space="preserve"> que ignore la solicitud de corrección; y que, si la Sala estima que alguno de los restantes conceptos conduce a una nulidad lisa y llana, lo estudie con preferencia por otorgar el mayor beneficio, reservando el presente para el caso de que aquéllos resulten infundados.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1670.</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FERRER MAC-GREGOR, op. cit.</w:t>
      </w:r>
      <w:r>
        <w:rPr>
          <w:rFonts w:ascii="Arial" w:hAnsi="Arial"/>
          <w:i w:val="0"/>
          <w:sz w:val="20"/>
        </w:rPr>
        <w:t>, p. 1605.</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767.</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689.</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40.</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