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DESISTIMIENTO ILEGAL DE LA SOLICITUD DE DEVOLUCIÓN POR EXIGIR UNA FORMALIDAD NO PREVISTA EN LA LEY</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Antes de rellenar nada, reúne cuatro piezas: el oficio de requerimiento de información, tu escrito de desahogo con el acuse de los documentos exhibidos, la resolución que te tuvo por desistido y, si hubo recurso, la que lo resolvió.</w:t>
      </w:r>
    </w:p>
    <w:p>
      <w:pPr>
        <w:spacing w:line="360" w:lineRule="auto"/>
        <w:jc w:val="both"/>
      </w:pPr>
      <w:r>
        <w:rPr>
          <w:rFonts w:ascii="Arial" w:hAnsi="Arial"/>
          <w:b w:val="0"/>
          <w:i w:val="0"/>
          <w:sz w:val="24"/>
        </w:rPr>
        <w:t>Después consigue las dos piezas que deciden el caso: la ley especial que rige a la persona moral solicitante y el acta constitutiva o los estatutos, con la cláusula que indica qué acuerdos deben protocolizarse e inscribirse; ofrécelas como prueba y refiérelas por folio. Transcribe con fidelidad la motivación del desistimiento, sin resumirla, porque el concepto se construye sobre sus propias palabras.</w:t>
      </w:r>
    </w:p>
    <w:p>
      <w:pPr>
        <w:spacing w:line="360" w:lineRule="auto"/>
        <w:jc w:val="both"/>
      </w:pPr>
      <w:r>
        <w:rPr>
          <w:rFonts w:ascii="Arial" w:hAnsi="Arial"/>
          <w:b w:val="0"/>
          <w:i w:val="0"/>
          <w:sz w:val="24"/>
        </w:rPr>
        <w:t>Confirma en el texto vigente del artículo 22 del Código Fiscal de la Federación el plazo del requerimiento que el machote transcribe, hoy de veinte días. La demanda se presenta dentro del plazo de treinta días que prevé el artículo 13, fracción I, de la Ley Federal de Procedimiento Contencioso Administrativo, que es el mismo que corresponde a la vía sumaria conforme a su artículo 58-2, párrafo tercero.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[DENOMINACIÓN DE LA PARTE ACTORA]</w:t>
      </w:r>
      <w:r>
        <w:rPr>
          <w:rFonts w:ascii="Arial" w:hAnsi="Arial"/>
          <w:b w:val="0"/>
          <w:i w:val="0"/>
          <w:sz w:val="24"/>
        </w:rPr>
        <w:t>: la denominación o razón social de la contribuyente que solicitó la devolución.</w:t>
      </w:r>
    </w:p>
    <w:p>
      <w:pPr>
        <w:spacing w:line="360" w:lineRule="auto"/>
        <w:jc w:val="both"/>
      </w:pPr>
      <w:r>
        <w:rPr>
          <w:rFonts w:ascii="Arial" w:hAnsi="Arial"/>
          <w:b/>
          <w:i w:val="0"/>
          <w:sz w:val="24"/>
        </w:rPr>
        <w:t>[AUTORIDAD DEMANDADA]</w:t>
      </w:r>
      <w:r>
        <w:rPr>
          <w:rFonts w:ascii="Arial" w:hAnsi="Arial"/>
          <w:b w:val="0"/>
          <w:i w:val="0"/>
          <w:sz w:val="24"/>
        </w:rPr>
        <w:t>: la autoridad que emitió la resolución impugnada; si impugnas la que resolvió el recurso, nómbrala con su denominación completa.</w:t>
      </w:r>
    </w:p>
    <w:p>
      <w:pPr>
        <w:spacing w:line="360" w:lineRule="auto"/>
        <w:jc w:val="both"/>
      </w:pPr>
      <w:r>
        <w:rPr>
          <w:rFonts w:ascii="Arial" w:hAnsi="Arial"/>
          <w:b/>
          <w:i w:val="0"/>
          <w:sz w:val="24"/>
        </w:rPr>
        <w:t>[RESOLUCIÓN IMPUGNADA Y SU FECHA]</w:t>
      </w:r>
      <w:r>
        <w:rPr>
          <w:rFonts w:ascii="Arial" w:hAnsi="Arial"/>
          <w:b w:val="0"/>
          <w:i w:val="0"/>
          <w:sz w:val="24"/>
        </w:rPr>
        <w:t>: número de oficio y fecha de la resolución que impugnas.</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te notificó, de la que corre el plazo para demandar.</w:t>
      </w:r>
    </w:p>
    <w:p>
      <w:pPr>
        <w:spacing w:line="360" w:lineRule="auto"/>
        <w:jc w:val="both"/>
      </w:pPr>
      <w:r>
        <w:rPr>
          <w:rFonts w:ascii="Arial" w:hAnsi="Arial"/>
          <w:b/>
          <w:i w:val="0"/>
          <w:sz w:val="24"/>
        </w:rPr>
        <w:t>[CONTRIBUCIÓN Y PERIODO DE LA SOLICITUD DE DEVOLUCIÓN]</w:t>
      </w:r>
      <w:r>
        <w:rPr>
          <w:rFonts w:ascii="Arial" w:hAnsi="Arial"/>
          <w:b w:val="0"/>
          <w:i w:val="0"/>
          <w:sz w:val="24"/>
        </w:rPr>
        <w:t>: el impuesto y el periodo o ejercicio a que corresponde el saldo.</w:t>
      </w:r>
    </w:p>
    <w:p>
      <w:pPr>
        <w:spacing w:line="360" w:lineRule="auto"/>
        <w:jc w:val="both"/>
      </w:pPr>
      <w:r>
        <w:rPr>
          <w:rFonts w:ascii="Arial" w:hAnsi="Arial"/>
          <w:b/>
          <w:i w:val="0"/>
          <w:sz w:val="24"/>
        </w:rPr>
        <w:t>[MONTO SOLICITADO EN DEVOLUCIÓN]</w:t>
      </w:r>
      <w:r>
        <w:rPr>
          <w:rFonts w:ascii="Arial" w:hAnsi="Arial"/>
          <w:b w:val="0"/>
          <w:i w:val="0"/>
          <w:sz w:val="24"/>
        </w:rPr>
        <w:t>: la cantidad pedida, con número y letra.</w:t>
      </w:r>
    </w:p>
    <w:p>
      <w:pPr>
        <w:spacing w:line="360" w:lineRule="auto"/>
        <w:jc w:val="both"/>
      </w:pPr>
      <w:r>
        <w:rPr>
          <w:rFonts w:ascii="Arial" w:hAnsi="Arial"/>
          <w:b/>
          <w:i w:val="0"/>
          <w:sz w:val="24"/>
        </w:rPr>
        <w:t>[FECHA DEL REQUERIMIENTO DE INFORMACIÓN]</w:t>
      </w:r>
      <w:r>
        <w:rPr>
          <w:rFonts w:ascii="Arial" w:hAnsi="Arial"/>
          <w:b w:val="0"/>
          <w:i w:val="0"/>
          <w:sz w:val="24"/>
        </w:rPr>
        <w:t>: la fecha del oficio por el que se te requirió información y documentación adicional.</w:t>
      </w:r>
    </w:p>
    <w:p>
      <w:pPr>
        <w:spacing w:line="360" w:lineRule="auto"/>
        <w:jc w:val="both"/>
      </w:pPr>
      <w:r>
        <w:rPr>
          <w:rFonts w:ascii="Arial" w:hAnsi="Arial"/>
          <w:b/>
          <w:i w:val="0"/>
          <w:sz w:val="24"/>
        </w:rPr>
        <w:t>[DOCUMENTOS EXHIBIDOS AL DESAHOGAR EL REQUERIMIENTO]</w:t>
      </w:r>
      <w:r>
        <w:rPr>
          <w:rFonts w:ascii="Arial" w:hAnsi="Arial"/>
          <w:b w:val="0"/>
          <w:i w:val="0"/>
          <w:sz w:val="24"/>
        </w:rPr>
        <w:t>: la lista de lo que efectivamente entregaste, en el orden del acuse.</w:t>
      </w:r>
    </w:p>
    <w:p>
      <w:pPr>
        <w:spacing w:line="360" w:lineRule="auto"/>
        <w:jc w:val="both"/>
      </w:pPr>
      <w:r>
        <w:rPr>
          <w:rFonts w:ascii="Arial" w:hAnsi="Arial"/>
          <w:b/>
          <w:i w:val="0"/>
          <w:sz w:val="24"/>
        </w:rPr>
        <w:t>[DOCUMENTO AL QUE SE EXIGIÓ LA FORMALIDAD]</w:t>
      </w:r>
      <w:r>
        <w:rPr>
          <w:rFonts w:ascii="Arial" w:hAnsi="Arial"/>
          <w:b w:val="0"/>
          <w:i w:val="0"/>
          <w:sz w:val="24"/>
        </w:rPr>
        <w:t>: el documento cuya forma reprochó la autoridad.</w:t>
      </w:r>
    </w:p>
    <w:p>
      <w:pPr>
        <w:spacing w:line="360" w:lineRule="auto"/>
        <w:jc w:val="both"/>
      </w:pPr>
      <w:r>
        <w:rPr>
          <w:rFonts w:ascii="Arial" w:hAnsi="Arial"/>
          <w:b/>
          <w:i w:val="0"/>
          <w:sz w:val="24"/>
        </w:rPr>
        <w:t>[FORMALIDAD EXIGIDA SIN FUNDAMENTO]</w:t>
      </w:r>
      <w:r>
        <w:rPr>
          <w:rFonts w:ascii="Arial" w:hAnsi="Arial"/>
          <w:b w:val="0"/>
          <w:i w:val="0"/>
          <w:sz w:val="24"/>
        </w:rPr>
        <w:t>: la forma que se pidió sin apoyo en una norma (protocolización ante fedatario, inscripción en un registro, certificación).</w:t>
      </w:r>
    </w:p>
    <w:p>
      <w:pPr>
        <w:spacing w:line="360" w:lineRule="auto"/>
        <w:jc w:val="both"/>
      </w:pPr>
      <w:r>
        <w:rPr>
          <w:rFonts w:ascii="Arial" w:hAnsi="Arial"/>
          <w:b/>
          <w:i w:val="0"/>
          <w:sz w:val="24"/>
        </w:rPr>
        <w:t>[TIPO DE PERSONA MORAL Y LEY ESPECIAL QUE LA RIGE]</w:t>
      </w:r>
      <w:r>
        <w:rPr>
          <w:rFonts w:ascii="Arial" w:hAnsi="Arial"/>
          <w:b w:val="0"/>
          <w:i w:val="0"/>
          <w:sz w:val="24"/>
        </w:rPr>
        <w:t>: la naturaleza jurídica de la actora y la ley que la regula.</w:t>
      </w:r>
    </w:p>
    <w:p>
      <w:pPr>
        <w:spacing w:line="360" w:lineRule="auto"/>
        <w:jc w:val="both"/>
      </w:pPr>
      <w:r>
        <w:rPr>
          <w:rFonts w:ascii="Arial" w:hAnsi="Arial"/>
          <w:b/>
          <w:i w:val="0"/>
          <w:sz w:val="24"/>
        </w:rPr>
        <w:t>[PRECEPTOS DE LA LEY ESPECIAL APLICABLE]</w:t>
      </w:r>
      <w:r>
        <w:rPr>
          <w:rFonts w:ascii="Arial" w:hAnsi="Arial"/>
          <w:b w:val="0"/>
          <w:i w:val="0"/>
          <w:sz w:val="24"/>
        </w:rPr>
        <w:t>: los artículos de esa ley que fijan qué documento debe protocolizarse e inscribirse.</w:t>
      </w:r>
    </w:p>
    <w:p>
      <w:pPr>
        <w:spacing w:line="360" w:lineRule="auto"/>
        <w:jc w:val="both"/>
      </w:pPr>
      <w:r>
        <w:rPr>
          <w:rFonts w:ascii="Arial" w:hAnsi="Arial"/>
          <w:b/>
          <w:i w:val="0"/>
          <w:sz w:val="24"/>
        </w:rPr>
        <w:t>[CLÁUSULA DEL ACTA CONSTITUTIVA O ESTATUTO SOCIAL]</w:t>
      </w:r>
      <w:r>
        <w:rPr>
          <w:rFonts w:ascii="Arial" w:hAnsi="Arial"/>
          <w:b w:val="0"/>
          <w:i w:val="0"/>
          <w:sz w:val="24"/>
        </w:rPr>
        <w:t>: la cláusula que regula el acuerdo exhibido y la forma en que debe asentarse.</w:t>
      </w:r>
    </w:p>
    <w:p>
      <w:pPr>
        <w:spacing w:line="360" w:lineRule="auto"/>
        <w:jc w:val="both"/>
      </w:pPr>
      <w:r>
        <w:rPr>
          <w:rFonts w:ascii="Arial" w:hAnsi="Arial"/>
          <w:b/>
          <w:i w:val="0"/>
          <w:sz w:val="24"/>
        </w:rPr>
        <w:t>[TRANSCRIPCIÓN DE LA MOTIVACIÓN DEL DESISTIMIENTO]</w:t>
      </w:r>
      <w:r>
        <w:rPr>
          <w:rFonts w:ascii="Arial" w:hAnsi="Arial"/>
          <w:b w:val="0"/>
          <w:i w:val="0"/>
          <w:sz w:val="24"/>
        </w:rPr>
        <w:t>: el pasaje literal en que la autoridad explica por qué tuvo por incumplido el requerimiento.</w:t>
      </w:r>
    </w:p>
    <w:p/>
    <w:p>
      <w:pPr>
        <w:spacing w:line="360" w:lineRule="auto"/>
        <w:jc w:val="both"/>
      </w:pPr>
      <w:r>
        <w:rPr>
          <w:rFonts w:ascii="Arial" w:hAnsi="Arial"/>
          <w:b/>
          <w:sz w:val="28"/>
        </w:rPr>
        <w:t>[NÚMERO ORDINAL DEL CONCEPTO] CONCEPTO DE IMPUGNACIÓN. Desistimiento ilegal de la solicitud de devolución por no exhibir un documento con una formalidad que ninguna norma impone a la actora. La autoridad tuvo por incumplido el requerimiento porque el acta no estaba [FORMALIDAD EXIGIDA SIN FUNDAMENTO], aunque ni la ley especial que la rige ni su estatuto la imponen, con lo que apreció en forma equivocada los hechos, contravino el artículo 22, párrafo séptimo, del Código Fiscal de la Federación y actualizó la causal del artículo 51, fracción IV, de la Ley Federal de Procedimiento Contencioso Administrativo.</w:t>
      </w:r>
    </w:p>
    <w:p>
      <w:pPr>
        <w:spacing w:line="360" w:lineRule="auto"/>
        <w:jc w:val="both"/>
      </w:pPr>
      <w:r>
        <w:rPr>
          <w:rFonts w:ascii="Arial" w:hAnsi="Arial"/>
          <w:b/>
          <w:sz w:val="28"/>
        </w:rPr>
        <w:t>I. Síntesis del concepto de impugnación.</w:t>
      </w:r>
    </w:p>
    <w:p>
      <w:pPr>
        <w:spacing w:line="360" w:lineRule="auto"/>
        <w:jc w:val="both"/>
      </w:pPr>
      <w:r>
        <w:rPr>
          <w:rFonts w:ascii="Arial" w:hAnsi="Arial"/>
          <w:b w:val="0"/>
          <w:i w:val="0"/>
          <w:sz w:val="28"/>
        </w:rPr>
        <w:t xml:space="preserve">En este apartado se demostrará que la resolución impugnada es ilegal porque confirmó un desistimiento que jamás debió decretarse: la </w:t>
      </w:r>
      <w:r>
        <w:rPr>
          <w:rFonts w:ascii="Arial" w:hAnsi="Arial"/>
          <w:b/>
          <w:i w:val="0"/>
          <w:sz w:val="28"/>
        </w:rPr>
        <w:t>[AUTORIDAD DEMANDADA]</w:t>
      </w:r>
      <w:r>
        <w:rPr>
          <w:rFonts w:ascii="Arial" w:hAnsi="Arial"/>
          <w:b w:val="0"/>
          <w:i w:val="0"/>
          <w:sz w:val="28"/>
        </w:rPr>
        <w:t xml:space="preserve"> tuvo a </w:t>
      </w:r>
      <w:r>
        <w:rPr>
          <w:rFonts w:ascii="Arial" w:hAnsi="Arial"/>
          <w:b/>
          <w:i w:val="0"/>
          <w:sz w:val="28"/>
        </w:rPr>
        <w:t>[DENOMINACIÓN DE LA PARTE ACTORA]</w:t>
      </w:r>
      <w:r>
        <w:rPr>
          <w:rFonts w:ascii="Arial" w:hAnsi="Arial"/>
          <w:b w:val="0"/>
          <w:i w:val="0"/>
          <w:sz w:val="28"/>
        </w:rPr>
        <w:t xml:space="preserve"> por desistida de su solicitud de devolución de </w:t>
      </w:r>
      <w:r>
        <w:rPr>
          <w:rFonts w:ascii="Arial" w:hAnsi="Arial"/>
          <w:b/>
          <w:i w:val="0"/>
          <w:sz w:val="28"/>
        </w:rPr>
        <w:t>[CONTRIBUCIÓN Y PERIODO DE LA SOLICITUD DE DEVOLUCIÓN]</w:t>
      </w:r>
      <w:r>
        <w:rPr>
          <w:rFonts w:ascii="Arial" w:hAnsi="Arial"/>
          <w:b w:val="0"/>
          <w:i w:val="0"/>
          <w:sz w:val="28"/>
        </w:rPr>
        <w:t xml:space="preserve"> con el único apoyo de que, al desahogar el requerimiento de información, no exhibió </w:t>
      </w:r>
      <w:r>
        <w:rPr>
          <w:rFonts w:ascii="Arial" w:hAnsi="Arial"/>
          <w:b/>
          <w:i w:val="0"/>
          <w:sz w:val="28"/>
        </w:rPr>
        <w:t>[DOCUMENTO AL QUE SE EXIGIÓ LA FORMALIDAD]</w:t>
      </w:r>
      <w:r>
        <w:rPr>
          <w:rFonts w:ascii="Arial" w:hAnsi="Arial"/>
          <w:b w:val="0"/>
          <w:i w:val="0"/>
          <w:sz w:val="28"/>
        </w:rPr>
        <w:t xml:space="preserve"> con la formalidad de </w:t>
      </w:r>
      <w:r>
        <w:rPr>
          <w:rFonts w:ascii="Arial" w:hAnsi="Arial"/>
          <w:b/>
          <w:i w:val="0"/>
          <w:sz w:val="28"/>
        </w:rPr>
        <w:t>[FORMALIDAD EXIGIDA SIN FUNDAMENTO]</w:t>
      </w:r>
      <w:r>
        <w:rPr>
          <w:rFonts w:ascii="Arial" w:hAnsi="Arial"/>
          <w:b w:val="0"/>
          <w:i w:val="0"/>
          <w:sz w:val="28"/>
        </w:rPr>
        <w:t>.</w:t>
      </w:r>
    </w:p>
    <w:p>
      <w:pPr>
        <w:spacing w:line="360" w:lineRule="auto"/>
        <w:jc w:val="both"/>
      </w:pPr>
      <w:r>
        <w:rPr>
          <w:rFonts w:ascii="Arial" w:hAnsi="Arial"/>
          <w:b w:val="0"/>
          <w:i w:val="0"/>
          <w:sz w:val="28"/>
        </w:rPr>
        <w:t>La demostración descansa en una premisa única y verificable: el desistimiento que autoriza el artículo 22, párrafo séptimo, del Código Fiscal de la Federación sanciona el incumplimiento del requerimiento, y no puede haber incumplimiento respecto de una formalidad que ninguna disposición legal impone a la solicitante. Si lo omitido no era jurídicamente exigible, el requerimiento quedó satisfecho y la hipótesis del desistimiento nunca se actualizó.</w:t>
      </w:r>
    </w:p>
    <w:p>
      <w:pPr>
        <w:spacing w:line="360" w:lineRule="auto"/>
        <w:jc w:val="both"/>
      </w:pPr>
      <w:r>
        <w:rPr>
          <w:rFonts w:ascii="Arial" w:hAnsi="Arial"/>
          <w:b w:val="0"/>
          <w:i w:val="0"/>
          <w:sz w:val="28"/>
        </w:rPr>
        <w:t>Conviene delimitar desde ahora el alcance de este concepto, para que no se confunda con planteamientos distintos que suelen declararse infundados. No se sostiene aquí que el cumplimiento parcial del requerimiento baste para conservar el trámite, ni que la autoridad estuviera obligada a formular un segundo requerimiento antes de resolver. Lo que se sostiene es que hubo cumplimiento total, porque el único dato faltante era una formalidad que la ley no exige.</w:t>
      </w:r>
    </w:p>
    <w:p>
      <w:pPr>
        <w:spacing w:line="360" w:lineRule="auto"/>
        <w:jc w:val="both"/>
      </w:pPr>
      <w:r>
        <w:rPr>
          <w:rFonts w:ascii="Arial" w:hAnsi="Arial"/>
          <w:b w:val="0"/>
          <w:i w:val="0"/>
          <w:sz w:val="28"/>
        </w:rPr>
        <w:t>Si la premisa se respeta, la conclusión es forzosa: la resolución recurrida apreció en forma equivocada los hechos y se dictó en contravención del artículo 22 del Código Fiscal de la Federación, con lo que se actualiza la causal de ilegalidad del artículo 51, fracción IV, de la Ley Federal de Procedimiento Contencioso Administrativo, y procede declarar su nulidad, así como la de la resolución impugnada que la confirmó, en términos del artículo 52, fracciones II y IV,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w:t>
      </w:r>
      <w:r>
        <w:rPr>
          <w:rFonts w:ascii="Arial" w:hAnsi="Arial"/>
          <w:b/>
          <w:i w:val="0"/>
          <w:sz w:val="28"/>
        </w:rPr>
        <w:t>[RESOLUCIÓN IMPUGNADA Y SU FECHA]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notificada a la parte actora el </w:t>
      </w:r>
      <w:r>
        <w:rPr>
          <w:rFonts w:ascii="Arial" w:hAnsi="Arial"/>
          <w:b/>
          <w:i w:val="0"/>
          <w:sz w:val="28"/>
        </w:rPr>
        <w:t>[FECHA DE NOTIFICACIÓN DE LA RESOLUCIÓN IMPUGNADA]</w:t>
      </w:r>
      <w:r>
        <w:rPr>
          <w:rFonts w:ascii="Arial" w:hAnsi="Arial"/>
          <w:b w:val="0"/>
          <w:i w:val="0"/>
          <w:sz w:val="28"/>
        </w:rPr>
        <w:t xml:space="preserve">, por la que se confirmó la determinación que tuvo a la actora por desistida de la solicitud de devolución de </w:t>
      </w:r>
      <w:r>
        <w:rPr>
          <w:rFonts w:ascii="Arial" w:hAnsi="Arial"/>
          <w:b/>
          <w:i w:val="0"/>
          <w:sz w:val="28"/>
        </w:rPr>
        <w:t>[CONTRIBUCIÓN Y PERIODO DE LA SOLICITUD DE DEVOLUCIÓN]</w:t>
      </w:r>
      <w:r>
        <w:rPr>
          <w:rFonts w:ascii="Arial" w:hAnsi="Arial"/>
          <w:b w:val="0"/>
          <w:i w:val="0"/>
          <w:sz w:val="28"/>
        </w:rPr>
        <w:t xml:space="preserve">, por el monto de </w:t>
      </w:r>
      <w:r>
        <w:rPr>
          <w:rFonts w:ascii="Arial" w:hAnsi="Arial"/>
          <w:b/>
          <w:i w:val="0"/>
          <w:sz w:val="28"/>
        </w:rPr>
        <w:t>[MONTO SOLICITADO EN DEVOLUCIÓN]</w:t>
      </w:r>
      <w:r>
        <w:rPr>
          <w:rFonts w:ascii="Arial" w:hAnsi="Arial"/>
          <w:b w:val="0"/>
          <w:i w:val="0"/>
          <w:sz w:val="28"/>
        </w:rPr>
        <w:t>.</w:t>
      </w:r>
    </w:p>
    <w:p>
      <w:pPr>
        <w:spacing w:line="360" w:lineRule="auto"/>
        <w:jc w:val="both"/>
      </w:pPr>
      <w:r>
        <w:rPr>
          <w:rFonts w:ascii="Arial" w:hAnsi="Arial"/>
          <w:b w:val="0"/>
          <w:i w:val="0"/>
          <w:sz w:val="28"/>
        </w:rPr>
        <w:t>Esta demanda se presenta dentro del plazo de treinta días que el artículo 13, fracción I, de la Ley Federal de Procedimiento Contencioso Administrativo concede para promoverlo, idéntico al que su artículo 58-2, párrafo tercero, fija para la vía sumaria.</w:t>
      </w:r>
    </w:p>
    <w:p>
      <w:pPr>
        <w:spacing w:line="360" w:lineRule="auto"/>
        <w:jc w:val="both"/>
      </w:pPr>
      <w:r>
        <w:rPr>
          <w:rFonts w:ascii="Arial" w:hAnsi="Arial"/>
          <w:b w:val="0"/>
          <w:i w:val="0"/>
          <w:sz w:val="28"/>
        </w:rPr>
        <w:t xml:space="preserve">Al tratarse de la resolución recaída a un recurso administrativo, opera el principio de litis abierta. El artículo 1o., párrafo segundo, de la Ley Federal de Procedimiento Contencioso Administrativo dispone que, cuando la resolución del recurso no satisface el interés jurídico del recurrente y éste la controvierte en el juicio, </w:t>
      </w:r>
      <w:r>
        <w:rPr>
          <w:rFonts w:ascii="Arial" w:hAnsi="Arial"/>
          <w:b w:val="0"/>
          <w:i/>
          <w:sz w:val="28"/>
        </w:rPr>
        <w:t>“se entenderá que simultáneamente impugna la resolución recurrida en la parte que continúa afectándolo, pudiendo hacer valer conceptos de impugnación no planteados en el recurso”</w:t>
      </w:r>
      <w:r>
        <w:rPr>
          <w:rFonts w:ascii="Arial" w:hAnsi="Arial"/>
          <w:b w:val="0"/>
          <w:i w:val="0"/>
          <w:sz w:val="28"/>
        </w:rPr>
        <w:t>. Por ello, este concepto se endereza contra ambas resoluciones.</w:t>
      </w:r>
    </w:p>
    <w:p>
      <w:pPr>
        <w:spacing w:line="360" w:lineRule="auto"/>
        <w:jc w:val="both"/>
      </w:pPr>
      <w:r>
        <w:rPr>
          <w:rFonts w:ascii="Arial" w:hAnsi="Arial"/>
          <w:b w:val="0"/>
          <w:i w:val="0"/>
          <w:sz w:val="28"/>
        </w:rPr>
        <w:t xml:space="preserve">El artículo 50, párrafo cuarto, del mismo ordenamiento cierra ese diseño al ordenar que, tratándose de sentencias sobre la legalidad de lo resuelto en un recurso administrativo, </w:t>
      </w:r>
      <w:r>
        <w:rPr>
          <w:rFonts w:ascii="Arial" w:hAnsi="Arial"/>
          <w:b w:val="0"/>
          <w:i/>
          <w:sz w:val="28"/>
        </w:rPr>
        <w:t>“si se cuenta con elementos suficientes para ello, el Tribunal se pronunciará sobre la legalidad de la resolución recurrida, en la parte que no satisfizo el interés jurídico del demandante”</w:t>
      </w:r>
      <w:r>
        <w:rPr>
          <w:rFonts w:ascii="Arial" w:hAnsi="Arial"/>
          <w:b w:val="0"/>
          <w:i w:val="0"/>
          <w:sz w:val="28"/>
        </w:rPr>
        <w:t>. La Sala está, así, en aptitud de examinar el desistimiento original y no sólo la confirmación que de él se hizo en sede administrativa.</w:t>
      </w:r>
    </w:p>
    <w:p>
      <w:pPr>
        <w:spacing w:line="360" w:lineRule="auto"/>
        <w:jc w:val="both"/>
      </w:pPr>
      <w:r>
        <w:rPr>
          <w:rFonts w:ascii="Arial" w:hAnsi="Arial"/>
          <w:b w:val="0"/>
          <w:i w:val="0"/>
          <w:sz w:val="28"/>
        </w:rPr>
        <w:t xml:space="preserve">Las normas cuya inobservancia se plantea son el artículo 22, párrafo séptimo, del Código Fiscal de la Federación, que regula el requerimiento de información en el trámite de devolución y la consecuencia de no atenderlo; el artículo 16, párrafo primero, de la Constitución Política de los Estados Unidos Mexicanos, en cuanto exige que todo acto de molestia se funde y motive; y los </w:t>
      </w:r>
      <w:r>
        <w:rPr>
          <w:rFonts w:ascii="Arial" w:hAnsi="Arial"/>
          <w:b/>
          <w:i w:val="0"/>
          <w:sz w:val="28"/>
        </w:rPr>
        <w:t>[PRECEPTOS DE LA LEY ESPECIAL APLICABLE]</w:t>
      </w:r>
      <w:r>
        <w:rPr>
          <w:rFonts w:ascii="Arial" w:hAnsi="Arial"/>
          <w:b w:val="0"/>
          <w:i w:val="0"/>
          <w:sz w:val="28"/>
        </w:rPr>
        <w:t xml:space="preserve">, que fijan las formalidades a que sí está sujeta la parte actora por su naturaleza de </w:t>
      </w:r>
      <w:r>
        <w:rPr>
          <w:rFonts w:ascii="Arial" w:hAnsi="Arial"/>
          <w:b/>
          <w:i w:val="0"/>
          <w:sz w:val="28"/>
        </w:rPr>
        <w:t>[TIPO DE PERSONA MORAL Y LEY ESPECIAL QUE LA RIGE]</w:t>
      </w:r>
      <w:r>
        <w:rPr>
          <w:rFonts w:ascii="Arial" w:hAnsi="Arial"/>
          <w:b w:val="0"/>
          <w:i w:val="0"/>
          <w:sz w:val="28"/>
        </w:rPr>
        <w:t>.</w:t>
      </w:r>
    </w:p>
    <w:p>
      <w:pPr>
        <w:spacing w:line="360" w:lineRule="auto"/>
        <w:jc w:val="both"/>
      </w:pPr>
      <w:r>
        <w:rPr>
          <w:rFonts w:ascii="Arial" w:hAnsi="Arial"/>
          <w:b w:val="0"/>
          <w:i w:val="0"/>
          <w:sz w:val="28"/>
        </w:rPr>
        <w:t>El perjuicio es concreto y patrimonial. El desistimiento no resolvió el fondo de la solicitud: la privó de resolución. La actora quedó sin la devolución pedida, sin pronunciamiento sobre su procedencia y con la carga de reiniciar un trámite cuya materia es un saldo sujeto a plazos de extinción, de suerte que la ilegalidad no sólo retrasa el pago, sino que pone en riesgo el derecho mismo a obtenerlo.</w:t>
      </w:r>
    </w:p>
    <w:p>
      <w:pPr>
        <w:spacing w:line="360" w:lineRule="auto"/>
        <w:jc w:val="both"/>
      </w:pPr>
      <w:r>
        <w:rPr>
          <w:rFonts w:ascii="Arial" w:hAnsi="Arial"/>
          <w:b w:val="0"/>
          <w:i w:val="0"/>
          <w:sz w:val="28"/>
        </w:rPr>
        <w:t>De prosperar este concepto, el beneficio es que la autoridad quede obligada a dejar insubsistente el desistimiento y a resolver el fondo de la solicitud, y que, de ser procedente, devuelva las cantidades debidamente actualizadas y con intereses, en términos de los artículos 22 y 22-A del Código Fiscal de la Federación.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Conviene empezar por el texto que la autoridad invocó. El artículo 22, párrafo séptimo, del Código Fiscal de la Federación establece que las autoridades fiscales </w:t>
      </w:r>
      <w:r>
        <w:rPr>
          <w:rFonts w:ascii="Arial" w:hAnsi="Arial"/>
          <w:b w:val="0"/>
          <w:i/>
          <w:sz w:val="28"/>
        </w:rPr>
        <w:t>“requerirán al promovente a fin de que en un plazo máximo de veinte días cumpla con lo solicitado, apercibido que de no hacerlo dentro de dicho plazo, se le tendrá por desistido de la solicitud de devolución correspondiente”</w:t>
      </w:r>
      <w:r>
        <w:rPr>
          <w:rFonts w:ascii="Arial" w:hAnsi="Arial"/>
          <w:b w:val="0"/>
          <w:i w:val="0"/>
          <w:sz w:val="28"/>
        </w:rPr>
        <w:t>. El desistimiento es, entonces, la consecuencia de un hecho negativo preciso: no cumplir con lo solicitado dentro del plazo.</w:t>
      </w:r>
    </w:p>
    <w:p>
      <w:pPr>
        <w:spacing w:line="360" w:lineRule="auto"/>
        <w:jc w:val="both"/>
      </w:pPr>
      <w:r>
        <w:rPr>
          <w:rFonts w:ascii="Arial" w:hAnsi="Arial"/>
          <w:b w:val="0"/>
          <w:i w:val="0"/>
          <w:sz w:val="28"/>
        </w:rPr>
        <w:t>De esa estructura se sigue una consecuencia que la autoridad suele pasar por alto. El desistimiento no es una facultad libre para cerrar trámites, sino la sanción de una conducta omisiva; su presupuesto es un incumplimiento real. Antes de decretarlo, la autoridad debe responder una pregunta jurídica previa: qué estaba la solicitante legalmente obligada a exhibir. Sólo contra esa medida puede medirse el cumplimiento, porque un requerimiento no crea obligaciones sustantivas donde la ley no las impuso.</w:t>
      </w:r>
    </w:p>
    <w:p>
      <w:pPr>
        <w:spacing w:line="360" w:lineRule="auto"/>
        <w:jc w:val="both"/>
      </w:pPr>
      <w:r>
        <w:rPr>
          <w:rFonts w:ascii="Arial" w:hAnsi="Arial"/>
          <w:b w:val="0"/>
          <w:i w:val="0"/>
          <w:sz w:val="28"/>
        </w:rPr>
        <w:t xml:space="preserve">Esa exigencia es la traducción, en el procedimiento de devolución, del mandato del artículo 16, párrafo primero, de la Constitución Política de los Estados Unidos Mexicanos: </w:t>
      </w:r>
      <w:r>
        <w:rPr>
          <w:rFonts w:ascii="Arial" w:hAnsi="Arial"/>
          <w:b w:val="0"/>
          <w:i/>
          <w:sz w:val="28"/>
        </w:rPr>
        <w:t>“Nadie puede ser molestado en su persona, familia, domicilio, papeles o posesiones, sino en virtud de mandamiento escrito de la autoridad competente, que funde y motive la causa legal del procedimiento”</w:t>
      </w:r>
      <w:r>
        <w:rPr>
          <w:rFonts w:ascii="Arial" w:hAnsi="Arial"/>
          <w:b w:val="0"/>
          <w:i w:val="0"/>
          <w:sz w:val="28"/>
        </w:rPr>
        <w:t>. La motivación no se agota en narrar un hecho; consiste en mostrar que el hecho encaja en la hipótesis de la norma invocada.</w:t>
      </w:r>
    </w:p>
    <w:p>
      <w:pPr>
        <w:spacing w:line="360" w:lineRule="auto"/>
        <w:jc w:val="both"/>
      </w:pPr>
      <w:r>
        <w:rPr>
          <w:rFonts w:ascii="Arial" w:hAnsi="Arial"/>
          <w:b w:val="0"/>
          <w:i w:val="0"/>
          <w:sz w:val="28"/>
        </w:rPr>
        <w:t>La doctrina especializada en justicia administrativa lo formula con precisión: la motivación obliga a expresar las circunstancias inmediatas tenidas en cuenta para emitir el acto y exige, además, que exista adecuación entre los motivos aducidos y las normas aplicables, de modo que en el caso concreto se configuren las hipótesis normativas.</w:t>
      </w:r>
      <w:r>
        <w:rPr>
          <w:rFonts w:ascii="Arial" w:hAnsi="Arial"/>
          <w:vertAlign w:val="superscript"/>
        </w:rPr>
        <w:t>1</w:t>
      </w:r>
      <w:r>
        <w:rPr>
          <w:rFonts w:ascii="Arial" w:hAnsi="Arial"/>
          <w:b w:val="0"/>
          <w:i w:val="0"/>
          <w:sz w:val="28"/>
        </w:rPr>
        <w:t xml:space="preserve"> Un desistimiento decretado por la falta de un documento que ninguna norma pide carece de esa adecuación: el motivo existe como dato, pero no configura la hipótesis legal.</w:t>
      </w:r>
    </w:p>
    <w:p>
      <w:pPr>
        <w:spacing w:line="360" w:lineRule="auto"/>
        <w:jc w:val="both"/>
      </w:pPr>
      <w:r>
        <w:rPr>
          <w:rFonts w:ascii="Arial" w:hAnsi="Arial"/>
          <w:b w:val="0"/>
          <w:i w:val="0"/>
          <w:sz w:val="28"/>
        </w:rPr>
        <w:t xml:space="preserve">En el mismo sentido, se ha subrayado que los motivos de hecho considerados para emitir el acto deben ser </w:t>
      </w:r>
      <w:r>
        <w:rPr>
          <w:rFonts w:ascii="Arial" w:hAnsi="Arial"/>
          <w:b w:val="0"/>
          <w:i/>
          <w:sz w:val="28"/>
        </w:rPr>
        <w:t>“reales, ciertos e investidos de la fuerza legal suficiente”</w:t>
      </w:r>
      <w:r>
        <w:rPr>
          <w:rFonts w:ascii="Arial" w:hAnsi="Arial"/>
          <w:b w:val="0"/>
          <w:i w:val="0"/>
          <w:sz w:val="28"/>
        </w:rPr>
        <w:t xml:space="preserve"> para provocarlo.</w:t>
      </w:r>
      <w:r>
        <w:rPr>
          <w:rFonts w:ascii="Arial" w:hAnsi="Arial"/>
          <w:vertAlign w:val="superscript"/>
        </w:rPr>
        <w:t>2</w:t>
      </w:r>
      <w:r>
        <w:rPr>
          <w:rFonts w:ascii="Arial" w:hAnsi="Arial"/>
          <w:b w:val="0"/>
          <w:i w:val="0"/>
          <w:sz w:val="28"/>
        </w:rPr>
        <w:t xml:space="preserve"> La distinción es decisiva en casos como éste: que la actora no haya exhibido el documento con la formalidad pedida puede ser un hecho cierto, y sin embargo carecer por completo de fuerza legal para producir el desistimiento, porque ninguna disposición convertía esa formalidad en deber.</w:t>
      </w:r>
    </w:p>
    <w:p>
      <w:pPr>
        <w:spacing w:line="360" w:lineRule="auto"/>
        <w:jc w:val="both"/>
      </w:pPr>
      <w:r>
        <w:rPr>
          <w:rFonts w:ascii="Arial" w:hAnsi="Arial"/>
          <w:b w:val="0"/>
          <w:i w:val="0"/>
          <w:sz w:val="28"/>
        </w:rPr>
        <w:t xml:space="preserve">Toca ahora la premisa que gobierna la formalidad discutida. Cuando la persona moral solicitante se rige por una ley especial, es esa ley la que determina cuáles de sus actos deben constar en instrumento público e inscribirse en el registro correspondiente. En el caso de las sociedades de producción rural, por ejemplo, el artículo 111 de la Ley Agraria dispone que la constitución y administración de la sociedad se sujetará, en lo conducente, a lo establecido en los artículos 108 y 109 de esa ley, y añade que </w:t>
      </w:r>
      <w:r>
        <w:rPr>
          <w:rFonts w:ascii="Arial" w:hAnsi="Arial"/>
          <w:b w:val="0"/>
          <w:i/>
          <w:sz w:val="28"/>
        </w:rPr>
        <w:t>“el acta constitutiva se inscribirá en el Registro Público de Crédito Rural o en el Público de Comercio”</w:t>
      </w:r>
      <w:r>
        <w:rPr>
          <w:rFonts w:ascii="Arial" w:hAnsi="Arial"/>
          <w:b w:val="0"/>
          <w:i w:val="0"/>
          <w:sz w:val="28"/>
        </w:rPr>
        <w:t>.</w:t>
      </w:r>
    </w:p>
    <w:p>
      <w:pPr>
        <w:spacing w:line="360" w:lineRule="auto"/>
        <w:jc w:val="both"/>
      </w:pPr>
      <w:r>
        <w:rPr>
          <w:rFonts w:ascii="Arial" w:hAnsi="Arial"/>
          <w:b w:val="0"/>
          <w:i w:val="0"/>
          <w:sz w:val="28"/>
        </w:rPr>
        <w:t>El dato relevante no es sólo lo que esa norma manda, sino lo que deliberadamente no manda. La ley identifica un documento, el acta constitutiva, y le impone la formalidad; nada dice de las actas de asamblea posteriores. Aquí opera el argumento a contrario, que la doctrina describe como el que justifica excluir la aplicación de la consecuencia jurídica prevista para un supuesto de hecho a supuestos diferentes de los expresamente mencionados por la norma.</w:t>
      </w:r>
      <w:r>
        <w:rPr>
          <w:rFonts w:ascii="Arial" w:hAnsi="Arial"/>
          <w:vertAlign w:val="superscript"/>
        </w:rPr>
        <w:t>3</w:t>
      </w:r>
    </w:p>
    <w:p>
      <w:pPr>
        <w:spacing w:line="360" w:lineRule="auto"/>
        <w:jc w:val="both"/>
      </w:pPr>
      <w:r>
        <w:rPr>
          <w:rFonts w:ascii="Arial" w:hAnsi="Arial"/>
          <w:b w:val="0"/>
          <w:i w:val="0"/>
          <w:sz w:val="28"/>
        </w:rPr>
        <w:t xml:space="preserve">El propio estatuto social completa el cuadro. El artículo 109 de la Ley Agraria, al que remite el 111 en lo conducente, exige que los estatutos contengan, entre otros contenidos mínimos, las </w:t>
      </w:r>
      <w:r>
        <w:rPr>
          <w:rFonts w:ascii="Arial" w:hAnsi="Arial"/>
          <w:b w:val="0"/>
          <w:i/>
          <w:sz w:val="28"/>
        </w:rPr>
        <w:t>“normas de funcionamiento”</w:t>
      </w:r>
      <w:r>
        <w:rPr>
          <w:rFonts w:ascii="Arial" w:hAnsi="Arial"/>
          <w:b w:val="0"/>
          <w:i w:val="0"/>
          <w:sz w:val="28"/>
        </w:rPr>
        <w:t>; de ahí que sean esos estatutos los que distribuyen qué acuerdos se asientan en el libro respectivo y cuáles, por su trascendencia frente a terceros, deben protocolizarse e inscribirse. Determinar la formalidad de un acuerdo interno sin leer la cláusula estatutaria que la regula es resolver el problema sin consultar la norma que lo decide.</w:t>
      </w:r>
    </w:p>
    <w:p>
      <w:pPr>
        <w:spacing w:line="360" w:lineRule="auto"/>
        <w:jc w:val="both"/>
      </w:pPr>
      <w:r>
        <w:rPr>
          <w:rFonts w:ascii="Arial" w:hAnsi="Arial"/>
          <w:b w:val="0"/>
          <w:i w:val="0"/>
          <w:sz w:val="28"/>
        </w:rPr>
        <w:t>Queda por descartar el atajo con el que suele defenderse la exigencia: la apelación al régimen de las sociedades mercantiles. La doctrina que sistematiza los límites del argumento analógico advierte que la analogía es imposible cuando el legislador ha pretendido regular restrictivamente una materia, como ocurre en algunos casos en materia fiscal, y que tampoco es utilizable para restringir derechos.</w:t>
      </w:r>
      <w:r>
        <w:rPr>
          <w:rFonts w:ascii="Arial" w:hAnsi="Arial"/>
          <w:vertAlign w:val="superscript"/>
        </w:rPr>
        <w:t>4</w:t>
      </w:r>
      <w:r>
        <w:rPr>
          <w:rFonts w:ascii="Arial" w:hAnsi="Arial"/>
          <w:b w:val="0"/>
          <w:i w:val="0"/>
          <w:sz w:val="28"/>
        </w:rPr>
        <w:t xml:space="preserve"> Trasladar a la solicitante una formalidad propia de otro régimen societario, para construir con ella un incumplimiento, es justamente la operación que esos límites prohíben.</w:t>
      </w:r>
    </w:p>
    <w:p>
      <w:pPr>
        <w:spacing w:line="360" w:lineRule="auto"/>
        <w:jc w:val="both"/>
      </w:pPr>
      <w:r>
        <w:rPr>
          <w:rFonts w:ascii="Arial" w:hAnsi="Arial"/>
          <w:b w:val="0"/>
          <w:i w:val="0"/>
          <w:sz w:val="28"/>
        </w:rPr>
        <w:t>Cierra la premisa mayor el encuadre legal del vicio. El artículo 51, fracción IV, de la Ley Federal de Procedimiento Contencioso Administrativo declara ilegal la resolución cuando los hechos que la motivaron no se realizaron, fueron distintos o se apreciaron en forma equivocada, o bien cuando se dictó en contravención de las disposiciones aplicadas o dejó de aplicar las debidas, en cuanto al fondo del asunto. El desistimiento fundado en una formalidad inexistente encaja en las dos hipótesis a la vez.</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sin esfuerzo en la premisa anterior. Mediante requerimiento de </w:t>
      </w:r>
      <w:r>
        <w:rPr>
          <w:rFonts w:ascii="Arial" w:hAnsi="Arial"/>
          <w:b/>
          <w:i w:val="0"/>
          <w:sz w:val="28"/>
        </w:rPr>
        <w:t>[FECHA DEL REQUERIMIENTO DE INFORMACIÓN]</w:t>
      </w:r>
      <w:r>
        <w:rPr>
          <w:rFonts w:ascii="Arial" w:hAnsi="Arial"/>
          <w:b w:val="0"/>
          <w:i w:val="0"/>
          <w:sz w:val="28"/>
        </w:rPr>
        <w:t xml:space="preserve">, la autoridad fiscal pidió información y documentación adicional para resolver la solicitud de devolución. La actora lo desahogó en tiempo y exhibió </w:t>
      </w:r>
      <w:r>
        <w:rPr>
          <w:rFonts w:ascii="Arial" w:hAnsi="Arial"/>
          <w:b/>
          <w:i w:val="0"/>
          <w:sz w:val="28"/>
        </w:rPr>
        <w:t>[DOCUMENTOS EXHIBIDOS AL DESAHOGAR EL REQUERIMIENTO]</w:t>
      </w:r>
      <w:r>
        <w:rPr>
          <w:rFonts w:ascii="Arial" w:hAnsi="Arial"/>
          <w:b w:val="0"/>
          <w:i w:val="0"/>
          <w:sz w:val="28"/>
        </w:rPr>
        <w:t>, con lo que explicó el origen de los recursos y acompañó el documento en que consta el acuerdo social correspondiente.</w:t>
      </w:r>
    </w:p>
    <w:p>
      <w:pPr>
        <w:spacing w:line="360" w:lineRule="auto"/>
        <w:jc w:val="both"/>
      </w:pPr>
      <w:r>
        <w:rPr>
          <w:rFonts w:ascii="Arial" w:hAnsi="Arial"/>
          <w:b w:val="0"/>
          <w:i w:val="0"/>
          <w:sz w:val="28"/>
        </w:rPr>
        <w:t xml:space="preserve">El único punto que la autoridad reprochó fue la forma de ese documento. Su motivación, que se transcribe para no deformarla, es la siguiente: </w:t>
      </w:r>
      <w:r>
        <w:rPr>
          <w:rFonts w:ascii="Arial" w:hAnsi="Arial"/>
          <w:b/>
          <w:i w:val="0"/>
          <w:sz w:val="28"/>
        </w:rPr>
        <w:t>[TRANSCRIPCIÓN DE LA MOTIVACIÓN DEL DESISTIMIENTO]</w:t>
      </w:r>
      <w:r>
        <w:rPr>
          <w:rFonts w:ascii="Arial" w:hAnsi="Arial"/>
          <w:b w:val="0"/>
          <w:i w:val="0"/>
          <w:sz w:val="28"/>
        </w:rPr>
        <w:t>. La idea central es que el acuerdo debía constar en instrumento protocolizado y que, al no exhibirse así, el requerimiento quedó incumplido y procedía tener a la solicitante por desistida.</w:t>
      </w:r>
    </w:p>
    <w:p>
      <w:pPr>
        <w:spacing w:line="360" w:lineRule="auto"/>
        <w:jc w:val="both"/>
      </w:pPr>
      <w:r>
        <w:rPr>
          <w:rFonts w:ascii="Arial" w:hAnsi="Arial"/>
          <w:b w:val="0"/>
          <w:i w:val="0"/>
          <w:sz w:val="28"/>
        </w:rPr>
        <w:t xml:space="preserve">Frente a ese reproche, la actora es una </w:t>
      </w:r>
      <w:r>
        <w:rPr>
          <w:rFonts w:ascii="Arial" w:hAnsi="Arial"/>
          <w:b/>
          <w:i w:val="0"/>
          <w:sz w:val="28"/>
        </w:rPr>
        <w:t>[TIPO DE PERSONA MORAL Y LEY ESPECIAL QUE LA RIGE]</w:t>
      </w:r>
      <w:r>
        <w:rPr>
          <w:rFonts w:ascii="Arial" w:hAnsi="Arial"/>
          <w:b w:val="0"/>
          <w:i w:val="0"/>
          <w:sz w:val="28"/>
        </w:rPr>
        <w:t xml:space="preserve">, regida por los </w:t>
      </w:r>
      <w:r>
        <w:rPr>
          <w:rFonts w:ascii="Arial" w:hAnsi="Arial"/>
          <w:b/>
          <w:i w:val="0"/>
          <w:sz w:val="28"/>
        </w:rPr>
        <w:t>[PRECEPTOS DE LA LEY ESPECIAL APLICABLE]</w:t>
      </w:r>
      <w:r>
        <w:rPr>
          <w:rFonts w:ascii="Arial" w:hAnsi="Arial"/>
          <w:b w:val="0"/>
          <w:i w:val="0"/>
          <w:sz w:val="28"/>
        </w:rPr>
        <w:t xml:space="preserve">, que imponen la protocolización e inscripción del acta constitutiva y no de los acuerdos de asamblea posteriores. A su vez, la </w:t>
      </w:r>
      <w:r>
        <w:rPr>
          <w:rFonts w:ascii="Arial" w:hAnsi="Arial"/>
          <w:b/>
          <w:i w:val="0"/>
          <w:sz w:val="28"/>
        </w:rPr>
        <w:t>[CLÁUSULA DEL ACTA CONSTITUTIVA O ESTATUTO SOCIAL]</w:t>
      </w:r>
      <w:r>
        <w:rPr>
          <w:rFonts w:ascii="Arial" w:hAnsi="Arial"/>
          <w:b w:val="0"/>
          <w:i w:val="0"/>
          <w:sz w:val="28"/>
        </w:rPr>
        <w:t xml:space="preserve"> prevé que acuerdos como el exhibido se adopten en asamblea y se asienten en el libro respectivo, sin protocolización ni inscripción.</w:t>
      </w:r>
    </w:p>
    <w:p>
      <w:pPr>
        <w:spacing w:line="360" w:lineRule="auto"/>
        <w:jc w:val="both"/>
      </w:pPr>
      <w:r>
        <w:rPr>
          <w:rFonts w:ascii="Arial" w:hAnsi="Arial"/>
          <w:b w:val="0"/>
          <w:i w:val="0"/>
          <w:sz w:val="28"/>
        </w:rPr>
        <w:t>La subsunción es directa. La norma especial y el estatuto delimitan la formalidad exigible; ninguno de los dos la impone al documento requerido; luego el documento se exhibió en la forma que el derecho prevé y el requerimiento se cumplió de manera total. Al no haber incumplimiento, la hipótesis del artículo 22, párrafo séptimo, del Código Fiscal de la Federación no se actualizó, y la autoridad debió tener por satisfecho el requerimiento y resolver el fondo de la devolución. Así lo ha reconocido este Tribunal en casos análogos.</w:t>
      </w:r>
    </w:p>
    <w:p>
      <w:pPr>
        <w:spacing w:line="360" w:lineRule="auto"/>
        <w:jc w:val="both"/>
      </w:pPr>
      <w:r>
        <w:rPr>
          <w:rFonts w:ascii="Arial" w:hAnsi="Arial"/>
          <w:b w:val="0"/>
          <w:i w:val="0"/>
          <w:sz w:val="28"/>
        </w:rPr>
        <w:t>El razonamiento de la autoridad es, además, lógicamente inválido, y conviene nombrar el error. Incurre en petición de principio, falacia que la doctrina describe como la de quien pretende demostrar algo tomando como premisa lo que no está claro ni es conocido por sí mismo, es decir, no demostrar.</w:t>
      </w:r>
      <w:r>
        <w:rPr>
          <w:rFonts w:ascii="Arial" w:hAnsi="Arial"/>
          <w:vertAlign w:val="superscript"/>
        </w:rPr>
        <w:t>5</w:t>
      </w:r>
      <w:r>
        <w:rPr>
          <w:rFonts w:ascii="Arial" w:hAnsi="Arial"/>
          <w:b w:val="0"/>
          <w:i w:val="0"/>
          <w:sz w:val="28"/>
        </w:rPr>
        <w:t xml:space="preserve"> La autoridad concluye que hubo incumplimiento porque el documento no estaba protocolizado, pero eso presupone que debía estarlo, que es precisamente el punto en disputa y el que nunca fundó en un precepto.</w:t>
      </w:r>
    </w:p>
    <w:p>
      <w:pPr>
        <w:spacing w:line="360" w:lineRule="auto"/>
        <w:jc w:val="both"/>
      </w:pPr>
      <w:r>
        <w:rPr>
          <w:rFonts w:ascii="Arial" w:hAnsi="Arial"/>
          <w:b w:val="0"/>
          <w:i w:val="0"/>
          <w:sz w:val="28"/>
        </w:rPr>
        <w:t>Expuesta en forma silogística, la falta salta a la vista. Su razonamiento reza: hubo incumplimiento porque faltó la protocolización; y la protocolización era necesaria porque la autoridad la requirió. La premisa que debía justificar la conclusión se apoya en el propio requerimiento, esto es, en la voluntad de la autoridad, y no en una norma. Un requerimiento no es fuente de obligaciones formales; es un acto de aplicación que sólo puede pedir lo que el orden jurídico ya impone al particular.</w:t>
      </w:r>
    </w:p>
    <w:p>
      <w:pPr>
        <w:spacing w:line="360" w:lineRule="auto"/>
        <w:jc w:val="both"/>
      </w:pPr>
      <w:r>
        <w:rPr>
          <w:rFonts w:ascii="Arial" w:hAnsi="Arial"/>
          <w:b w:val="0"/>
          <w:i w:val="0"/>
          <w:sz w:val="28"/>
        </w:rPr>
        <w:t xml:space="preserve">El segundo error es una falsa analogía. La autoridad razonó como si la actora fuera una sociedad de régimen mercantil, en el que ciertos acuerdos de asamblea sí deben protocolizarse e inscribirse, y trasladó esa carga a una persona moral de régimen distinto. La doctrina sobre el argumento analógico advierte que las semejanzas entre la situación original y la debatida no precisan ser numerosas, porque lo importante es la </w:t>
      </w:r>
      <w:r>
        <w:rPr>
          <w:rFonts w:ascii="Arial" w:hAnsi="Arial"/>
          <w:b w:val="0"/>
          <w:i/>
          <w:sz w:val="28"/>
        </w:rPr>
        <w:t>“fuerza”</w:t>
      </w:r>
      <w:r>
        <w:rPr>
          <w:rFonts w:ascii="Arial" w:hAnsi="Arial"/>
          <w:b w:val="0"/>
          <w:i w:val="0"/>
          <w:sz w:val="28"/>
        </w:rPr>
        <w:t xml:space="preserve"> de esas semejanzas.</w:t>
      </w:r>
      <w:r>
        <w:rPr>
          <w:rFonts w:ascii="Arial" w:hAnsi="Arial"/>
          <w:vertAlign w:val="superscript"/>
        </w:rPr>
        <w:t>6</w:t>
      </w:r>
      <w:r>
        <w:rPr>
          <w:rFonts w:ascii="Arial" w:hAnsi="Arial"/>
          <w:b w:val="0"/>
          <w:i w:val="0"/>
          <w:sz w:val="28"/>
        </w:rPr>
        <w:t xml:space="preserve"> En el razonamiento jurídico esa fuerza se mide por la pertinencia de la semejanza respecto del punto que se discute.</w:t>
      </w:r>
    </w:p>
    <w:p>
      <w:pPr>
        <w:spacing w:line="360" w:lineRule="auto"/>
        <w:jc w:val="both"/>
      </w:pPr>
      <w:r>
        <w:rPr>
          <w:rFonts w:ascii="Arial" w:hAnsi="Arial"/>
          <w:b w:val="0"/>
          <w:i w:val="0"/>
          <w:sz w:val="28"/>
        </w:rPr>
        <w:t>Aquí la semejanza invocada carece por completo de esa fuerza. Que ambas figuras sean personas morales y actúen por asamblea es irrelevante frente a lo único decisivo: qué ley rige la forma de sus actos internos. El razonamiento correcto era identificar la ley especial aplicable a la solicitante, leer su estatuto y verificar si alguno imponía la formalidad exigida; hecho eso, la respuesta era negativa y el requerimiento estaba cumplido.</w:t>
      </w:r>
    </w:p>
    <w:p>
      <w:pPr>
        <w:spacing w:line="360" w:lineRule="auto"/>
        <w:jc w:val="both"/>
      </w:pPr>
      <w:r>
        <w:rPr>
          <w:rFonts w:ascii="Arial" w:hAnsi="Arial"/>
          <w:b w:val="0"/>
          <w:i w:val="0"/>
          <w:sz w:val="28"/>
        </w:rPr>
        <w:t>Importa insistir en el deslinde anunciado en la síntesis, porque de él depende que el concepto no se declare infundado. No se pide un trato de favor por cumplimiento parcial: la actora sostiene cumplimiento íntegro. Tampoco se reclama un segundo requerimiento: esa vía presupone que el primero quedó incompleto, lo que aquí se niega. El planteamiento es anterior y más fuerte, pues niega el hecho mismo del que la autoridad hizo depender el desistimiento.</w:t>
      </w:r>
    </w:p>
    <w:p>
      <w:pPr>
        <w:spacing w:line="360" w:lineRule="auto"/>
        <w:jc w:val="both"/>
      </w:pPr>
      <w:r>
        <w:rPr>
          <w:rFonts w:ascii="Arial" w:hAnsi="Arial"/>
          <w:b w:val="0"/>
          <w:i w:val="0"/>
          <w:sz w:val="28"/>
        </w:rPr>
        <w:t>Conviene también anticipar la objeción de que la autoridad, al valorar el documento, actuaba dentro de sus facultades de comprobación. La objeción confunde dos momentos. Al verificar el desahogo del requerimiento, la autoridad sólo constata si cada punto fue atendido; el juicio sobre la suficiencia o el alcance probatorio de lo aportado pertenece al pronunciamiento de fondo sobre la devolución, que es justamente el que el desistimiento impidió. Usar el desistimiento para adelantar ese juicio desnaturaliza la figura.</w:t>
      </w:r>
    </w:p>
    <w:p>
      <w:pPr>
        <w:spacing w:line="360" w:lineRule="auto"/>
        <w:jc w:val="both"/>
      </w:pPr>
      <w:r>
        <w:rPr>
          <w:rFonts w:ascii="Arial" w:hAnsi="Arial"/>
          <w:b w:val="0"/>
          <w:i w:val="0"/>
          <w:sz w:val="28"/>
        </w:rPr>
        <w:t>La consecuencia sistémica de convalidar el acto revela la gravedad del vicio. Si bastara con que la autoridad pidiera una formalidad cualquiera para que su ausencia produjera el desistimiento, el trámite de devolución quedaría a merced del requerimiento: toda solicitud podría cerrarse sin resolver el fondo mediante la exigencia de un documento que la ley no obliga a tener. El derecho a la devolución dejaría de depender de la ley y pasaría a depender de la redacción del oficio.</w:t>
      </w:r>
    </w:p>
    <w:p>
      <w:pPr>
        <w:spacing w:line="360" w:lineRule="auto"/>
        <w:jc w:val="both"/>
      </w:pPr>
      <w:r>
        <w:rPr>
          <w:rFonts w:ascii="Arial" w:hAnsi="Arial"/>
          <w:b w:val="0"/>
          <w:i w:val="0"/>
          <w:sz w:val="28"/>
        </w:rPr>
        <w:t xml:space="preserve">Finalmente, el perjuicio quedó consumado con la confirmación en sede administrativa. La </w:t>
      </w:r>
      <w:r>
        <w:rPr>
          <w:rFonts w:ascii="Arial" w:hAnsi="Arial"/>
          <w:b/>
          <w:i w:val="0"/>
          <w:sz w:val="28"/>
        </w:rPr>
        <w:t>[AUTORIDAD DEMANDADA]</w:t>
      </w:r>
      <w:r>
        <w:rPr>
          <w:rFonts w:ascii="Arial" w:hAnsi="Arial"/>
          <w:b w:val="0"/>
          <w:i w:val="0"/>
          <w:sz w:val="28"/>
        </w:rPr>
        <w:t xml:space="preserve"> tuvo a la vista los argumentos sobre el régimen especial de la actora y, en lugar de examinar qué norma imponía la formalidad, reiteró que el requerimiento no se había cumplido en forma completa. Al hacerlo, convalidó un acto contrario a derecho y añadió a la ilegalidad original la propia, pues resolvió el recurso sin responder la única cuestión de la que dependía su resultado.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desistimiento previsto en el artículo 22, párrafo séptimo, del Código Fiscal de la Federación exige un incumplimiento real del requerimiento; la formalidad cuya ausencia se reprochó a la parte actora no le es exigible ni por la ley especial que la rige ni por su estatuto social; por tanto, el requerimiento se cumplió de manera total y la hipótesis del desistimiento nunca se actualizó. La resolución recurrida apreció en forma equivocada los hechos y contravino la disposición que dijo aplicar, y la impugnada la confirmó.</w:t>
      </w:r>
    </w:p>
    <w:p>
      <w:pPr>
        <w:spacing w:line="360" w:lineRule="auto"/>
        <w:jc w:val="both"/>
      </w:pPr>
      <w:r>
        <w:rPr>
          <w:rFonts w:ascii="Arial" w:hAnsi="Arial"/>
          <w:b w:val="0"/>
          <w:i w:val="0"/>
          <w:sz w:val="28"/>
        </w:rPr>
        <w:t>Por lo expuesto, procede declarar fundado este concepto de impugnación y, con fundamento en los artículos 51, fracción IV, y 52, fracciones II y IV, de la Ley Federal de Procedimiento Contencioso Administrativo, declarar la nulidad de la resolución impugnada y de la recurrida en sede administrativa, para el efecto de que la autoridad fiscal deje insubsistente el desistimiento, tenga por cumplido el requerimiento y emita nueva resolución en la que, fundando y motivando, resuelva el fondo de la solicitud de devolución.</w:t>
      </w:r>
    </w:p>
    <w:p>
      <w:pPr>
        <w:spacing w:line="360" w:lineRule="auto"/>
        <w:jc w:val="both"/>
      </w:pPr>
      <w:r>
        <w:rPr>
          <w:rFonts w:ascii="Arial" w:hAnsi="Arial"/>
          <w:b w:val="0"/>
          <w:i w:val="0"/>
          <w:sz w:val="28"/>
        </w:rPr>
        <w:t>Se pide igualmente que en la sentencia se precise que, de resultar procedente la devolución, las cantidades deberán entregarse debidamente actualizadas y con el pago de intereses, conforme a los artículos 22 y 22-A del Código Fiscal de la Federación, y que el cumplimiento se realice dentro del plazo que fija el artículo 52, párrafo segundo, en relación con el artículo 57, fracción II, de la Ley Federal de Procedimiento Contencioso Administrativo.</w:t>
      </w:r>
    </w:p>
    <w:p>
      <w:pPr>
        <w:spacing w:line="360" w:lineRule="auto"/>
        <w:jc w:val="both"/>
      </w:pPr>
      <w:r>
        <w:rPr>
          <w:rFonts w:ascii="Arial" w:hAnsi="Arial"/>
          <w:b w:val="0"/>
          <w:i w:val="0"/>
          <w:sz w:val="28"/>
        </w:rPr>
        <w:t xml:space="preserve">Sólo en el supuesto de que esta Sala advierta en autos los elementos necesarios para constatar el derecho subjetivo cuya lesión se aduce, se solicita que, además de la nulidad, se reconozca ese derecho y se condene a la autoridad a su restitución, conforme al artículo 50, párrafo quinto, de la Ley Federal de Procedimiento Contencioso Administrativo, que impone al Tribunal el deber de </w:t>
      </w:r>
      <w:r>
        <w:rPr>
          <w:rFonts w:ascii="Arial" w:hAnsi="Arial"/>
          <w:b w:val="0"/>
          <w:i/>
          <w:sz w:val="28"/>
        </w:rPr>
        <w:t>“constatar el derecho que tiene el particular, además de la ilegalidad de la resolución impugnada”</w:t>
      </w:r>
      <w:r>
        <w:rPr>
          <w:rFonts w:ascii="Arial" w:hAnsi="Arial"/>
          <w:b w:val="0"/>
          <w:i w:val="0"/>
          <w:sz w:val="28"/>
        </w:rPr>
        <w:t xml:space="preserve"> antes de condenar a la devolución de una cantidad.</w:t>
      </w:r>
    </w:p>
    <w:p>
      <w:pPr>
        <w:spacing w:line="360" w:lineRule="auto"/>
        <w:jc w:val="both"/>
      </w:pPr>
      <w:r>
        <w:rPr>
          <w:rFonts w:ascii="Arial" w:hAnsi="Arial"/>
          <w:b w:val="0"/>
          <w:i w:val="0"/>
          <w:sz w:val="28"/>
        </w:rPr>
        <w:t>Se solicita el estudio preferente de este concepto, pues resuelve la cuestión de la que depende el sentido del fallo y otorga a la parte actora el mayor beneficio posible: que su solicitud de devolución sea al fin resuelta en cuanto al fondo por la autoridad competente para ello, con plenitud de jurisdicción y con los efectos vinculantes que la ley atribuye a las sentencias de este Tribunal.</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58.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179.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150.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513.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SHECAIRA, Fábio P.; STRUCHINER, Noel, </w:t>
      </w:r>
      <w:r>
        <w:rPr>
          <w:rFonts w:ascii="Arial" w:hAnsi="Arial"/>
          <w:i/>
          <w:sz w:val="20"/>
        </w:rPr>
        <w:t>Teoría de la Argumentación Jurídica. Para entender el discurso de los jueces y abogados</w:t>
      </w:r>
      <w:r>
        <w:rPr>
          <w:rFonts w:ascii="Arial" w:hAnsi="Arial"/>
          <w:i w:val="0"/>
          <w:sz w:val="20"/>
        </w:rPr>
        <w:t>, trad. de Juan Carlos Panez Solórzano, Israel Sánchez Cerna, Editora y Librería Jurídica Grijley, Lima, 2019, p. 158.</w:t>
      </w:r>
    </w:p>
    <w:p/>
    <w:p>
      <w:r>
        <w:rPr>
          <w:rFonts w:ascii="Arial" w:hAnsi="Arial"/>
          <w:b/>
          <w:sz w:val="22"/>
        </w:rPr>
        <w:t>BIBLIOGRAFÍA</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p>
      <w:pPr>
        <w:spacing w:after="60"/>
        <w:ind w:left="360" w:hanging="360"/>
        <w:jc w:val="both"/>
      </w:pPr>
      <w:r>
        <w:rPr>
          <w:rFonts w:ascii="Arial" w:hAnsi="Arial"/>
          <w:i w:val="0"/>
          <w:sz w:val="20"/>
        </w:rPr>
        <w:t xml:space="preserve">SHECAIRA, Fábio P.; STRUCHINER, Noel, </w:t>
      </w:r>
      <w:r>
        <w:rPr>
          <w:rFonts w:ascii="Arial" w:hAnsi="Arial"/>
          <w:i/>
          <w:sz w:val="20"/>
        </w:rPr>
        <w:t>Teoría de la Argumentación Jurídica. Para entender el discurso de los jueces y abogados</w:t>
      </w:r>
      <w:r>
        <w:rPr>
          <w:rFonts w:ascii="Arial" w:hAnsi="Arial"/>
          <w:i w:val="0"/>
          <w:sz w:val="20"/>
        </w:rPr>
        <w:t>, trad. de Juan Carlos Panez Solórzano, Israel Sánchez Cerna, Editora y Librería Jurídica Grijley, Lima, 2019.</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