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sz w:val="28"/>
        </w:rPr>
        <w:t>MACHOTE. DEMANDA DE NULIDAD TFJA. TASA DEL 0% DE IVA EN SERVICIOS AGRÍCOLAS FACTURADOS COMO ASESORÍA</w:t>
      </w:r>
    </w:p>
    <w:p>
      <w:pPr>
        <w:jc w:val="center"/>
      </w:pPr>
      <w:r>
        <w:rPr>
          <w:rFonts w:ascii="Arial" w:hAnsi="Arial"/>
          <w:sz w:val="20"/>
        </w:rPr>
        <w:t>Machote gratuito de Academia de Amparo y Derecho — academiadeamparo.com</w:t>
      </w:r>
    </w:p>
    <w:p/>
    <w:p>
      <w:r>
        <w:rPr>
          <w:rFonts w:ascii="Arial" w:hAnsi="Arial"/>
          <w:b/>
          <w:sz w:val="24"/>
        </w:rPr>
        <w:t>CÓMO USAR ESTE MACHOTE</w:t>
      </w:r>
    </w:p>
    <w:p>
      <w:pPr>
        <w:spacing w:line="360" w:lineRule="auto"/>
        <w:jc w:val="both"/>
      </w:pPr>
      <w:r>
        <w:rPr>
          <w:rFonts w:ascii="Arial" w:hAnsi="Arial"/>
          <w:b w:val="0"/>
          <w:i w:val="0"/>
          <w:sz w:val="24"/>
        </w:rPr>
        <w:t>Descarga el machote, léelo completo y adapta el concepto de impugnación a tu demanda de nulidad. Primero reúne la prueba del servicio real: contratos, órdenes de actividades, recomendaciones técnicas y registros contables que vinculen cada comprobante observado con su operación, y prepara el ofrecimiento de periciales en agronomía y en contabilidad.</w:t>
      </w:r>
    </w:p>
    <w:p>
      <w:pPr>
        <w:spacing w:line="360" w:lineRule="auto"/>
        <w:jc w:val="both"/>
      </w:pPr>
      <w:r>
        <w:rPr>
          <w:rFonts w:ascii="Arial" w:hAnsi="Arial"/>
          <w:b w:val="0"/>
          <w:i w:val="0"/>
          <w:sz w:val="24"/>
        </w:rPr>
        <w:t>Después define la vía: desde la reforma publicada el 9 de junio de 2026, el artículo 58-2, fracción VI, de la Ley Federal de Procedimiento Contencioso Administrativo prevé la vía sumaria para las resoluciones que las autoridades fiscales emiten en respuesta a solicitudes de devolución de saldos a favor, siempre que su importe no exceda el límite que fija el párrafo primero de ese artículo, por lo que debes revisar si tu asunto va en esa vía o en la ordinaria; en la sumaria, la pericial se desahoga con los plazos abreviados del artículo 58-5. En ambas vías, la demanda se presenta dentro de los treinta días siguientes a aquél en que surta efectos la notificación de la resolución impugnada: artículo 13, fracción I, inciso a), en la ordinaria, y artículo 58-2, párrafo tercero, en la sumaria.</w:t>
      </w:r>
    </w:p>
    <w:p>
      <w:pPr>
        <w:spacing w:line="360" w:lineRule="auto"/>
        <w:jc w:val="both"/>
      </w:pPr>
      <w:r>
        <w:rPr>
          <w:rFonts w:ascii="Arial" w:hAnsi="Arial"/>
          <w:b w:val="0"/>
          <w:i w:val="0"/>
          <w:sz w:val="24"/>
        </w:rPr>
        <w:t>Si promoviste recurso de revocación, conserva el párrafo de litis abierta; si no, suprímelo y elimina las referencias a la resolución recurrida. Verifica que la autoridad no haya objetado el importe del saldo ni la documentación del trámite, porque de ello depende la petición de condena; si lo hizo, ajusta el último párrafo. Coteja los preceptos de la Ley del IVA y del Código Fiscal de la Federación con el texto aplicable a tu periodo, porque la sentencia que inspira el machote aplicó los vigentes en 2019.</w:t>
      </w:r>
    </w:p>
    <w:p>
      <w:pPr>
        <w:spacing w:line="360" w:lineRule="auto"/>
        <w:jc w:val="both"/>
      </w:pPr>
      <w:r>
        <w:rPr>
          <w:rFonts w:ascii="Arial" w:hAnsi="Arial"/>
          <w:b w:val="0"/>
          <w:i w:val="0"/>
          <w:sz w:val="24"/>
        </w:rPr>
        <w:t>Campos editables y qué poner en cada uno:</w:t>
      </w:r>
    </w:p>
    <w:p>
      <w:pPr>
        <w:spacing w:line="360" w:lineRule="auto"/>
        <w:jc w:val="both"/>
      </w:pPr>
      <w:r>
        <w:rPr>
          <w:rFonts w:ascii="Arial" w:hAnsi="Arial"/>
          <w:b/>
          <w:i w:val="0"/>
          <w:sz w:val="24"/>
        </w:rPr>
        <w:t>[NÚMERO ORDINAL DEL CONCEPTO]</w:t>
      </w:r>
      <w:r>
        <w:rPr>
          <w:rFonts w:ascii="Arial" w:hAnsi="Arial"/>
          <w:b w:val="0"/>
          <w:i w:val="0"/>
          <w:sz w:val="24"/>
        </w:rPr>
        <w:t>: el ordinal que le corresponda en tu demanda (PRIMERO, SEGUNDO…).</w:t>
      </w:r>
    </w:p>
    <w:p>
      <w:pPr>
        <w:spacing w:line="360" w:lineRule="auto"/>
        <w:jc w:val="both"/>
      </w:pPr>
      <w:r>
        <w:rPr>
          <w:rFonts w:ascii="Arial" w:hAnsi="Arial"/>
          <w:b/>
          <w:i w:val="0"/>
          <w:sz w:val="24"/>
        </w:rPr>
        <w:t>[NÚMERO Y FECHA DEL OFICIO IMPUGNADO]</w:t>
      </w:r>
      <w:r>
        <w:rPr>
          <w:rFonts w:ascii="Arial" w:hAnsi="Arial"/>
          <w:b w:val="0"/>
          <w:i w:val="0"/>
          <w:sz w:val="24"/>
        </w:rPr>
        <w:t>: número y fecha del oficio que resolvió el recurso de revocación o, si no lo hubo, del que negó la devolución.</w:t>
      </w:r>
    </w:p>
    <w:p>
      <w:pPr>
        <w:spacing w:line="360" w:lineRule="auto"/>
        <w:jc w:val="both"/>
      </w:pPr>
      <w:r>
        <w:rPr>
          <w:rFonts w:ascii="Arial" w:hAnsi="Arial"/>
          <w:b/>
          <w:i w:val="0"/>
          <w:sz w:val="24"/>
        </w:rPr>
        <w:t>[AUTORIDAD DEMANDADA]</w:t>
      </w:r>
      <w:r>
        <w:rPr>
          <w:rFonts w:ascii="Arial" w:hAnsi="Arial"/>
          <w:b w:val="0"/>
          <w:i w:val="0"/>
          <w:sz w:val="24"/>
        </w:rPr>
        <w:t>: denominación completa de la unidad administrativa que emitió la resolución impugnada.</w:t>
      </w:r>
    </w:p>
    <w:p>
      <w:pPr>
        <w:spacing w:line="360" w:lineRule="auto"/>
        <w:jc w:val="both"/>
      </w:pPr>
      <w:r>
        <w:rPr>
          <w:rFonts w:ascii="Arial" w:hAnsi="Arial"/>
          <w:b/>
          <w:i w:val="0"/>
          <w:sz w:val="24"/>
        </w:rPr>
        <w:t>[NÚMERO Y FECHA DEL OFICIO QUE NEGÓ LA DEVOLUCIÓN]</w:t>
      </w:r>
      <w:r>
        <w:rPr>
          <w:rFonts w:ascii="Arial" w:hAnsi="Arial"/>
          <w:b w:val="0"/>
          <w:i w:val="0"/>
          <w:sz w:val="24"/>
        </w:rPr>
        <w:t>: el oficio que negó o autorizó sólo en parte la devolución.</w:t>
      </w:r>
    </w:p>
    <w:p>
      <w:pPr>
        <w:spacing w:line="360" w:lineRule="auto"/>
        <w:jc w:val="both"/>
      </w:pPr>
      <w:r>
        <w:rPr>
          <w:rFonts w:ascii="Arial" w:hAnsi="Arial"/>
          <w:b/>
          <w:i w:val="0"/>
          <w:sz w:val="24"/>
        </w:rPr>
        <w:t>[AUTORIDAD QUE NEGÓ LA DEVOLUCIÓN]</w:t>
      </w:r>
      <w:r>
        <w:rPr>
          <w:rFonts w:ascii="Arial" w:hAnsi="Arial"/>
          <w:b w:val="0"/>
          <w:i w:val="0"/>
          <w:sz w:val="24"/>
        </w:rPr>
        <w:t>: la unidad administrativa que resolvió la solicitud.</w:t>
      </w:r>
    </w:p>
    <w:p>
      <w:pPr>
        <w:spacing w:line="360" w:lineRule="auto"/>
        <w:jc w:val="both"/>
      </w:pPr>
      <w:r>
        <w:rPr>
          <w:rFonts w:ascii="Arial" w:hAnsi="Arial"/>
          <w:b/>
          <w:i w:val="0"/>
          <w:sz w:val="24"/>
        </w:rPr>
        <w:t>[NOMBRE O DENOMINACIÓN DE LA PARTE ACTORA]</w:t>
      </w:r>
      <w:r>
        <w:rPr>
          <w:rFonts w:ascii="Arial" w:hAnsi="Arial"/>
          <w:b w:val="0"/>
          <w:i w:val="0"/>
          <w:sz w:val="24"/>
        </w:rPr>
        <w:t>: nombre de la persona física o razón social de la persona moral que solicitó la devolución.</w:t>
      </w:r>
    </w:p>
    <w:p>
      <w:pPr>
        <w:spacing w:line="360" w:lineRule="auto"/>
        <w:jc w:val="both"/>
      </w:pPr>
      <w:r>
        <w:rPr>
          <w:rFonts w:ascii="Arial" w:hAnsi="Arial"/>
          <w:b/>
          <w:i w:val="0"/>
          <w:sz w:val="24"/>
        </w:rPr>
        <w:t>[PERIODO DEL SALDO A FAVOR]</w:t>
      </w:r>
      <w:r>
        <w:rPr>
          <w:rFonts w:ascii="Arial" w:hAnsi="Arial"/>
          <w:b w:val="0"/>
          <w:i w:val="0"/>
          <w:sz w:val="24"/>
        </w:rPr>
        <w:t>: mes y año del saldo solicitado.</w:t>
      </w:r>
    </w:p>
    <w:p>
      <w:pPr>
        <w:spacing w:line="360" w:lineRule="auto"/>
        <w:jc w:val="both"/>
      </w:pPr>
      <w:r>
        <w:rPr>
          <w:rFonts w:ascii="Arial" w:hAnsi="Arial"/>
          <w:b/>
          <w:i w:val="0"/>
          <w:sz w:val="24"/>
        </w:rPr>
        <w:t>[MONTO NEGADO EN DEVOLUCIÓN]</w:t>
      </w:r>
      <w:r>
        <w:rPr>
          <w:rFonts w:ascii="Arial" w:hAnsi="Arial"/>
          <w:b w:val="0"/>
          <w:i w:val="0"/>
          <w:sz w:val="24"/>
        </w:rPr>
        <w:t>: la cantidad negada, con número y letra.</w:t>
      </w:r>
    </w:p>
    <w:p>
      <w:pPr>
        <w:spacing w:line="360" w:lineRule="auto"/>
        <w:jc w:val="both"/>
      </w:pPr>
      <w:r>
        <w:rPr>
          <w:rFonts w:ascii="Arial" w:hAnsi="Arial"/>
          <w:b/>
          <w:i w:val="0"/>
          <w:sz w:val="24"/>
        </w:rPr>
        <w:t>[FOLIOS DE LOS COMPROBANTES OBSERVADOS]</w:t>
      </w:r>
      <w:r>
        <w:rPr>
          <w:rFonts w:ascii="Arial" w:hAnsi="Arial"/>
          <w:b w:val="0"/>
          <w:i w:val="0"/>
          <w:sz w:val="24"/>
        </w:rPr>
        <w:t>: folios fiscales de los comprobantes que la autoridad observó.</w:t>
      </w:r>
    </w:p>
    <w:p>
      <w:pPr>
        <w:spacing w:line="360" w:lineRule="auto"/>
        <w:jc w:val="both"/>
      </w:pPr>
      <w:r>
        <w:rPr>
          <w:rFonts w:ascii="Arial" w:hAnsi="Arial"/>
          <w:b/>
          <w:i w:val="0"/>
          <w:sz w:val="24"/>
        </w:rPr>
        <w:t>[DESCRIPCIÓN ASENTADA EN LOS COMPROBANTES]</w:t>
      </w:r>
      <w:r>
        <w:rPr>
          <w:rFonts w:ascii="Arial" w:hAnsi="Arial"/>
          <w:b w:val="0"/>
          <w:i w:val="0"/>
          <w:sz w:val="24"/>
        </w:rPr>
        <w:t>: la descripción textual del servicio en esos comprobantes, entre comillas.</w:t>
      </w:r>
    </w:p>
    <w:p>
      <w:pPr>
        <w:spacing w:line="360" w:lineRule="auto"/>
        <w:jc w:val="both"/>
      </w:pPr>
      <w:r>
        <w:rPr>
          <w:rFonts w:ascii="Arial" w:hAnsi="Arial"/>
          <w:b/>
          <w:i w:val="0"/>
          <w:sz w:val="24"/>
        </w:rPr>
        <w:t>[CONTRATOS, ÓRDENES DE ACTIVIDADES Y DEMÁS DOCUMENTOS EXHIBIDOS]</w:t>
      </w:r>
      <w:r>
        <w:rPr>
          <w:rFonts w:ascii="Arial" w:hAnsi="Arial"/>
          <w:b w:val="0"/>
          <w:i w:val="0"/>
          <w:sz w:val="24"/>
        </w:rPr>
        <w:t>: relación de los documentos exhibidos ante la autoridad y en el juicio, con su fecha.</w:t>
      </w:r>
    </w:p>
    <w:p>
      <w:pPr>
        <w:spacing w:line="360" w:lineRule="auto"/>
        <w:jc w:val="both"/>
      </w:pPr>
      <w:r>
        <w:rPr>
          <w:rFonts w:ascii="Arial" w:hAnsi="Arial"/>
          <w:b/>
          <w:i w:val="0"/>
          <w:sz w:val="24"/>
        </w:rPr>
        <w:t>[OBJETO SOCIAL DE LA PARTE ACTORA]</w:t>
      </w:r>
      <w:r>
        <w:rPr>
          <w:rFonts w:ascii="Arial" w:hAnsi="Arial"/>
          <w:b w:val="0"/>
          <w:i w:val="0"/>
          <w:sz w:val="24"/>
        </w:rPr>
        <w:t>: transcripción del objeto social o de la actividad registrada.</w:t>
      </w:r>
    </w:p>
    <w:p>
      <w:pPr>
        <w:spacing w:line="360" w:lineRule="auto"/>
        <w:jc w:val="both"/>
      </w:pPr>
      <w:r>
        <w:rPr>
          <w:rFonts w:ascii="Arial" w:hAnsi="Arial"/>
          <w:b/>
          <w:i w:val="0"/>
          <w:sz w:val="24"/>
        </w:rPr>
        <w:t>[CLIENTES AGRICULTORES O GANADEROS]</w:t>
      </w:r>
      <w:r>
        <w:rPr>
          <w:rFonts w:ascii="Arial" w:hAnsi="Arial"/>
          <w:b w:val="0"/>
          <w:i w:val="0"/>
          <w:sz w:val="24"/>
        </w:rPr>
        <w:t>: identificación de las personas productoras que recibieron los servicios.</w:t>
      </w:r>
    </w:p>
    <w:p>
      <w:pPr>
        <w:spacing w:line="360" w:lineRule="auto"/>
        <w:jc w:val="both"/>
      </w:pPr>
      <w:r>
        <w:rPr>
          <w:rFonts w:ascii="Arial" w:hAnsi="Arial"/>
          <w:b/>
          <w:i w:val="0"/>
          <w:sz w:val="24"/>
        </w:rPr>
        <w:t>[LABORES CONCRETAS PRESTADAS]</w:t>
      </w:r>
      <w:r>
        <w:rPr>
          <w:rFonts w:ascii="Arial" w:hAnsi="Arial"/>
          <w:b w:val="0"/>
          <w:i w:val="0"/>
          <w:sz w:val="24"/>
        </w:rPr>
        <w:t>: las labores que describen las órdenes de actividades, por ejemplo análisis de suelo, preparación de terreno o aplicación de tratamientos contra plagas.</w:t>
      </w:r>
    </w:p>
    <w:p/>
    <w:p>
      <w:pPr>
        <w:spacing w:line="360" w:lineRule="auto"/>
        <w:jc w:val="both"/>
      </w:pPr>
      <w:r>
        <w:rPr>
          <w:rFonts w:ascii="Arial" w:hAnsi="Arial"/>
          <w:b/>
          <w:sz w:val="28"/>
        </w:rPr>
        <w:t>[NÚMERO ORDINAL DEL CONCEPTO] CONCEPTO DE IMPUGNACIÓN. Los servicios de preparación de terrenos y de erradicación de plagas prestados directamente a agricultores están gravados a la tasa del 0%, aunque los comprobantes fiscales los describan como “asesoría”; al negar la devolución por reclasificarlos al 16%, la autoridad apreció equivocadamente los hechos y dejó de aplicar el artículo 2o.-A, párrafo primero, fracción II, inciso a), de la Ley del Impuesto al Valor Agregado, con lo que se actualiza la causal del artículo 51, fracción IV, de la Ley Federal de Procedimiento Contencioso Administrativo.</w:t>
      </w:r>
    </w:p>
    <w:p>
      <w:pPr>
        <w:spacing w:line="360" w:lineRule="auto"/>
        <w:jc w:val="both"/>
      </w:pPr>
      <w:r>
        <w:rPr>
          <w:rFonts w:ascii="Arial" w:hAnsi="Arial"/>
          <w:b/>
          <w:sz w:val="28"/>
        </w:rPr>
        <w:t>I. Síntesis del concepto.</w:t>
      </w:r>
    </w:p>
    <w:p>
      <w:pPr>
        <w:spacing w:line="360" w:lineRule="auto"/>
        <w:jc w:val="both"/>
      </w:pPr>
      <w:r>
        <w:rPr>
          <w:rFonts w:ascii="Arial" w:hAnsi="Arial"/>
          <w:b w:val="0"/>
          <w:i w:val="0"/>
          <w:sz w:val="28"/>
        </w:rPr>
        <w:t xml:space="preserve">En este apartado se demostrará que la resolución contenida en el oficio </w:t>
      </w:r>
      <w:r>
        <w:rPr>
          <w:rFonts w:ascii="Arial" w:hAnsi="Arial"/>
          <w:b/>
          <w:i w:val="0"/>
          <w:sz w:val="28"/>
        </w:rPr>
        <w:t>[NÚMERO Y FECHA DEL OFICIO IMPUGNADO]</w:t>
      </w:r>
      <w:r>
        <w:rPr>
          <w:rFonts w:ascii="Arial" w:hAnsi="Arial"/>
          <w:b w:val="0"/>
          <w:i w:val="0"/>
          <w:sz w:val="28"/>
        </w:rPr>
        <w:t xml:space="preserve">, emitida por la </w:t>
      </w:r>
      <w:r>
        <w:rPr>
          <w:rFonts w:ascii="Arial" w:hAnsi="Arial"/>
          <w:b/>
          <w:i w:val="0"/>
          <w:sz w:val="28"/>
        </w:rPr>
        <w:t>[AUTORIDAD DEMANDADA]</w:t>
      </w:r>
      <w:r>
        <w:rPr>
          <w:rFonts w:ascii="Arial" w:hAnsi="Arial"/>
          <w:b w:val="0"/>
          <w:i w:val="0"/>
          <w:sz w:val="28"/>
        </w:rPr>
        <w:t xml:space="preserve">, que confirmó la diversa contenida en el oficio </w:t>
      </w:r>
      <w:r>
        <w:rPr>
          <w:rFonts w:ascii="Arial" w:hAnsi="Arial"/>
          <w:b/>
          <w:i w:val="0"/>
          <w:sz w:val="28"/>
        </w:rPr>
        <w:t>[NÚMERO Y FECHA DEL OFICIO QUE NEGÓ LA DEVOLUCIÓN]</w:t>
      </w:r>
      <w:r>
        <w:rPr>
          <w:rFonts w:ascii="Arial" w:hAnsi="Arial"/>
          <w:b w:val="0"/>
          <w:i w:val="0"/>
          <w:sz w:val="28"/>
        </w:rPr>
        <w:t xml:space="preserve">, dictada por la </w:t>
      </w:r>
      <w:r>
        <w:rPr>
          <w:rFonts w:ascii="Arial" w:hAnsi="Arial"/>
          <w:b/>
          <w:i w:val="0"/>
          <w:sz w:val="28"/>
        </w:rPr>
        <w:t>[AUTORIDAD QUE NEGÓ LA DEVOLUCIÓN]</w:t>
      </w:r>
      <w:r>
        <w:rPr>
          <w:rFonts w:ascii="Arial" w:hAnsi="Arial"/>
          <w:b w:val="0"/>
          <w:i w:val="0"/>
          <w:sz w:val="28"/>
        </w:rPr>
        <w:t xml:space="preserve">, es ilegal en cuanto negó a </w:t>
      </w:r>
      <w:r>
        <w:rPr>
          <w:rFonts w:ascii="Arial" w:hAnsi="Arial"/>
          <w:b/>
          <w:i w:val="0"/>
          <w:sz w:val="28"/>
        </w:rPr>
        <w:t>[NOMBRE O DENOMINACIÓN DE LA PARTE ACTORA]</w:t>
      </w:r>
      <w:r>
        <w:rPr>
          <w:rFonts w:ascii="Arial" w:hAnsi="Arial"/>
          <w:b w:val="0"/>
          <w:i w:val="0"/>
          <w:sz w:val="28"/>
        </w:rPr>
        <w:t xml:space="preserve"> la devolución del saldo a favor del impuesto al valor agregado correspondiente a </w:t>
      </w:r>
      <w:r>
        <w:rPr>
          <w:rFonts w:ascii="Arial" w:hAnsi="Arial"/>
          <w:b/>
          <w:i w:val="0"/>
          <w:sz w:val="28"/>
        </w:rPr>
        <w:t>[PERIODO DEL SALDO A FAVOR]</w:t>
      </w:r>
      <w:r>
        <w:rPr>
          <w:rFonts w:ascii="Arial" w:hAnsi="Arial"/>
          <w:b w:val="0"/>
          <w:i w:val="0"/>
          <w:sz w:val="28"/>
        </w:rPr>
        <w:t xml:space="preserve">, por la cantidad de </w:t>
      </w:r>
      <w:r>
        <w:rPr>
          <w:rFonts w:ascii="Arial" w:hAnsi="Arial"/>
          <w:b/>
          <w:i w:val="0"/>
          <w:sz w:val="28"/>
        </w:rPr>
        <w:t>[MONTO NEGADO EN DEVOLUCIÓN]</w:t>
      </w:r>
      <w:r>
        <w:rPr>
          <w:rFonts w:ascii="Arial" w:hAnsi="Arial"/>
          <w:b w:val="0"/>
          <w:i w:val="0"/>
          <w:sz w:val="28"/>
        </w:rPr>
        <w:t>.</w:t>
      </w:r>
    </w:p>
    <w:p>
      <w:pPr>
        <w:spacing w:line="360" w:lineRule="auto"/>
        <w:jc w:val="both"/>
      </w:pPr>
      <w:r>
        <w:rPr>
          <w:rFonts w:ascii="Arial" w:hAnsi="Arial"/>
          <w:b w:val="0"/>
          <w:i w:val="0"/>
          <w:sz w:val="28"/>
        </w:rPr>
        <w:t xml:space="preserve">La demostración descansa en una premisa verificable: la tasa que corresponde a un servicio depende de lo que efectivamente se prestó, de la persona que lo recibió y del destino que tuvo, mientras que la expresión con que el comprobante lo describe sólo resume esa realidad y no puede sustituirla. Los contratos, las órdenes de actividades, las recomendaciones técnicas de producción y las periciales en agronomía y en contabilidad acreditan que lo facturado como </w:t>
      </w:r>
      <w:r>
        <w:rPr>
          <w:rFonts w:ascii="Arial" w:hAnsi="Arial"/>
          <w:b/>
          <w:i w:val="0"/>
          <w:sz w:val="28"/>
        </w:rPr>
        <w:t>[DESCRIPCIÓN ASENTADA EN LOS COMPROBANTES]</w:t>
      </w:r>
      <w:r>
        <w:rPr>
          <w:rFonts w:ascii="Arial" w:hAnsi="Arial"/>
          <w:b w:val="0"/>
          <w:i w:val="0"/>
          <w:sz w:val="28"/>
        </w:rPr>
        <w:t xml:space="preserve"> fueron labores de preparación de terrenos y de erradicación de plagas.</w:t>
      </w:r>
    </w:p>
    <w:p>
      <w:pPr>
        <w:spacing w:line="360" w:lineRule="auto"/>
        <w:jc w:val="both"/>
      </w:pPr>
      <w:r>
        <w:rPr>
          <w:rFonts w:ascii="Arial" w:hAnsi="Arial"/>
          <w:b w:val="0"/>
          <w:i w:val="0"/>
          <w:sz w:val="28"/>
        </w:rPr>
        <w:t>Si esa premisa se respeta, la conclusión se impone: al reclasificar tales servicios a la tasa del 16%, la autoridad apreció equivocadamente los hechos y dejó de aplicar la disposición debida, por lo que procede declarar la nulidad de la resolución impugnada y de la recurrida, reconocer el derecho de la parte actora a la devolución y condenar a efectuarla con su actualización e intereses, en términos de los artículos 51, fracción IV, y 52, fracción V, inciso a), de la Ley Federal de Procedimiento Contencioso Administrativo.</w:t>
      </w:r>
    </w:p>
    <w:p>
      <w:pPr>
        <w:spacing w:line="360" w:lineRule="auto"/>
        <w:jc w:val="both"/>
      </w:pPr>
      <w:r>
        <w:rPr>
          <w:rFonts w:ascii="Arial" w:hAnsi="Arial"/>
          <w:b/>
          <w:sz w:val="28"/>
        </w:rPr>
        <w:t>II. Planteamiento.</w:t>
      </w:r>
    </w:p>
    <w:p>
      <w:pPr>
        <w:spacing w:line="360" w:lineRule="auto"/>
        <w:jc w:val="both"/>
      </w:pPr>
      <w:r>
        <w:rPr>
          <w:rFonts w:ascii="Arial" w:hAnsi="Arial"/>
          <w:b w:val="0"/>
          <w:i w:val="0"/>
          <w:sz w:val="28"/>
        </w:rPr>
        <w:t xml:space="preserve">La autoridad negó la devolución, en la parte que aquí se combate, por estimar que los servicios amparados por los comprobantes fiscales digitales por internet </w:t>
      </w:r>
      <w:r>
        <w:rPr>
          <w:rFonts w:ascii="Arial" w:hAnsi="Arial"/>
          <w:b/>
          <w:i w:val="0"/>
          <w:sz w:val="28"/>
        </w:rPr>
        <w:t>[FOLIOS DE LOS COMPROBANTES OBSERVADOS]</w:t>
      </w:r>
      <w:r>
        <w:rPr>
          <w:rFonts w:ascii="Arial" w:hAnsi="Arial"/>
          <w:b w:val="0"/>
          <w:i w:val="0"/>
          <w:sz w:val="28"/>
        </w:rPr>
        <w:t xml:space="preserve">, descritos como </w:t>
      </w:r>
      <w:r>
        <w:rPr>
          <w:rFonts w:ascii="Arial" w:hAnsi="Arial"/>
          <w:b/>
          <w:i w:val="0"/>
          <w:sz w:val="28"/>
        </w:rPr>
        <w:t>[DESCRIPCIÓN ASENTADA EN LOS COMPROBANTES]</w:t>
      </w:r>
      <w:r>
        <w:rPr>
          <w:rFonts w:ascii="Arial" w:hAnsi="Arial"/>
          <w:b w:val="0"/>
          <w:i w:val="0"/>
          <w:sz w:val="28"/>
        </w:rPr>
        <w:t>, constituyen asesoría gravada a la tasa del 16% conforme al artículo 1o. de la Ley del Impuesto al Valor Agregado, y que por ello no les corresponde la tasa del 0% prevista para ciertos servicios independientes prestados al sector agropecuario.</w:t>
      </w:r>
    </w:p>
    <w:p>
      <w:pPr>
        <w:spacing w:line="360" w:lineRule="auto"/>
        <w:jc w:val="both"/>
      </w:pPr>
      <w:r>
        <w:rPr>
          <w:rFonts w:ascii="Arial" w:hAnsi="Arial"/>
          <w:b w:val="0"/>
          <w:i w:val="0"/>
          <w:sz w:val="28"/>
        </w:rPr>
        <w:t>La norma cuya inobservancia se plantea es el artículo 2o.-A, párrafo primero, fracción II, inciso a), de esa ley, que ordena calcular el tributo con la tasa del 0% cuando se presten servicios independientes en los términos siguientes:</w:t>
      </w:r>
    </w:p>
    <w:p>
      <w:pPr>
        <w:spacing w:line="360" w:lineRule="auto"/>
        <w:jc w:val="both"/>
      </w:pPr>
      <w:r>
        <w:rPr>
          <w:rFonts w:ascii="Arial" w:hAnsi="Arial"/>
          <w:b w:val="0"/>
          <w:i/>
          <w:sz w:val="28"/>
        </w:rPr>
        <w:t>“Los prestados directamente a los agricultores y ganaderos, siempre que sean destinados para actividades agropecuarias, por concepto de perforaciones de pozos, alumbramiento y formación de retenes de agua; suministro de energía eléctrica para usos agrícolas aplicados al bombeo de agua para riego; desmontes y caminos en el interior de las fincas agropecuarias; preparación de terrenos; riego y fumigación agrícolas; erradicación de plagas; cosecha y recolección; vacunación, desinfección e inseminación de ganado, así como los de captura y extracción de especies marinas y de agua dulce.”</w:t>
      </w:r>
    </w:p>
    <w:p>
      <w:pPr>
        <w:spacing w:line="360" w:lineRule="auto"/>
        <w:jc w:val="both"/>
      </w:pPr>
      <w:r>
        <w:rPr>
          <w:rFonts w:ascii="Arial" w:hAnsi="Arial"/>
          <w:b w:val="0"/>
          <w:i w:val="0"/>
          <w:sz w:val="28"/>
        </w:rPr>
        <w:t xml:space="preserve">Se infringe también el artículo 22 del Código Fiscal de la Federación, que obliga a las autoridades a devolver las cantidades que procedan conforme a las leyes fiscales, pues la negativa se apoyó en la sola denominación de los comprobantes y omitió valorar la documentación exhibida para acreditar la naturaleza real de los servicios, entre ella </w:t>
      </w:r>
      <w:r>
        <w:rPr>
          <w:rFonts w:ascii="Arial" w:hAnsi="Arial"/>
          <w:b/>
          <w:i w:val="0"/>
          <w:sz w:val="28"/>
        </w:rPr>
        <w:t>[CONTRATOS, ÓRDENES DE ACTIVIDADES Y DEMÁS DOCUMENTOS EXHIBIDOS]</w:t>
      </w:r>
      <w:r>
        <w:rPr>
          <w:rFonts w:ascii="Arial" w:hAnsi="Arial"/>
          <w:b w:val="0"/>
          <w:i w:val="0"/>
          <w:sz w:val="28"/>
        </w:rPr>
        <w:t>.</w:t>
      </w:r>
    </w:p>
    <w:p>
      <w:pPr>
        <w:spacing w:line="360" w:lineRule="auto"/>
        <w:jc w:val="both"/>
      </w:pPr>
      <w:r>
        <w:rPr>
          <w:rFonts w:ascii="Arial" w:hAnsi="Arial"/>
          <w:b w:val="0"/>
          <w:i w:val="0"/>
          <w:sz w:val="28"/>
        </w:rPr>
        <w:t>El perjuicio es directo: se priva a la parte actora de un saldo a favor por la sola reclasificación de la tasa, motivo ajeno a la existencia y al importe del saldo, y se le atribuye una carga del 16% sobre servicios que el legislador quiso aliviar para fortalecer al sector primario. De prosperar este concepto, el beneficio es el mayor posible en la materia: la nulidad acompañada del reconocimiento del derecho a la devolución y de la condena a efectuarla.</w:t>
      </w:r>
    </w:p>
    <w:p>
      <w:pPr>
        <w:spacing w:line="360" w:lineRule="auto"/>
        <w:jc w:val="both"/>
      </w:pPr>
      <w:r>
        <w:rPr>
          <w:rFonts w:ascii="Arial" w:hAnsi="Arial"/>
          <w:b w:val="0"/>
          <w:i w:val="0"/>
          <w:sz w:val="28"/>
        </w:rPr>
        <w:t>Conforme al artículo 1o., segundo párrafo, de la Ley Federal de Procedimiento Contencioso Administrativo, cuando la resolución recaída a un recurso administrativo no satisface el interés jurídico de la persona recurrente, se entiende que simultáneamente impugna la resolución recurrida en la parte que continúa afectándola, y puede hacer valer conceptos de impugnación no planteados en el recurso. Si la demanda se dirige directamente contra la negativa, sin recurso previo, este párrafo debe suprimirse.</w:t>
      </w:r>
    </w:p>
    <w:p>
      <w:pPr>
        <w:spacing w:line="360" w:lineRule="auto"/>
        <w:jc w:val="both"/>
      </w:pPr>
      <w:r>
        <w:rPr>
          <w:rFonts w:ascii="Arial" w:hAnsi="Arial"/>
          <w:b w:val="0"/>
          <w:i w:val="0"/>
          <w:sz w:val="28"/>
        </w:rPr>
        <w:t xml:space="preserve">Este planteamiento coincide con lo que apreció una Sala Regional del Tribunal Federal de Justicia Administrativa en sentencia de 6 de agosto de 2025, que anuló una negativa de devolución apoyada en la misma reclasificación; se invoca sólo como referencia ilustrativa, porque un fallo de esa clase no constituye precedente obligatorio ni jurisprudencia. Esa resolución es anterior a la reforma de la ley procesal publicada el 9 de junio de 2026 y aplicó el texto de la ley del impuesto vigente en 2019, por lo que los preceptos deben cotejarse con el texto aplicable a </w:t>
      </w:r>
      <w:r>
        <w:rPr>
          <w:rFonts w:ascii="Arial" w:hAnsi="Arial"/>
          <w:b/>
          <w:i w:val="0"/>
          <w:sz w:val="28"/>
        </w:rPr>
        <w:t>[PERIODO DEL SALDO A FAVOR]</w:t>
      </w:r>
      <w:r>
        <w:rPr>
          <w:rFonts w:ascii="Arial" w:hAnsi="Arial"/>
          <w:b w:val="0"/>
          <w:i w:val="0"/>
          <w:sz w:val="28"/>
        </w:rPr>
        <w:t>.</w:t>
      </w:r>
    </w:p>
    <w:p>
      <w:pPr>
        <w:spacing w:line="360" w:lineRule="auto"/>
        <w:jc w:val="both"/>
      </w:pPr>
      <w:r>
        <w:rPr>
          <w:rFonts w:ascii="Arial" w:hAnsi="Arial"/>
          <w:b w:val="0"/>
          <w:i w:val="0"/>
          <w:sz w:val="28"/>
        </w:rPr>
        <w:t>Para ese cotejo conviene precisar que, en el texto vigente de la ley procesal, el artículo 51, fracción IV, conserva la causal de ilegalidad consistente en que los hechos que motivaron la resolución se apreciaron en forma equivocada o en que se dictó en contravención de las disposiciones aplicadas o dejó de aplicar las debidas, y el numeral 52, fracción V, inciso a), mantiene la facultad de reconocer a la persona actora un derecho subjetivo y condenar al cumplimiento de la obligación correlativa.</w:t>
      </w:r>
    </w:p>
    <w:p>
      <w:pPr>
        <w:spacing w:line="360" w:lineRule="auto"/>
        <w:jc w:val="both"/>
      </w:pPr>
      <w:r>
        <w:rPr>
          <w:rFonts w:ascii="Arial" w:hAnsi="Arial"/>
          <w:b/>
          <w:sz w:val="28"/>
        </w:rPr>
        <w:t>III. Desarrollo doctrinal y normativo. Premisa mayor.</w:t>
      </w:r>
    </w:p>
    <w:p>
      <w:pPr>
        <w:spacing w:line="360" w:lineRule="auto"/>
        <w:jc w:val="both"/>
      </w:pPr>
      <w:r>
        <w:rPr>
          <w:rFonts w:ascii="Arial" w:hAnsi="Arial"/>
          <w:b w:val="0"/>
          <w:i w:val="0"/>
          <w:sz w:val="28"/>
        </w:rPr>
        <w:t>Como lo apreció la Sala en el caso ilustrativo antes referido, el inciso transcrito exige tres condiciones que deben examinarse por separado: que el servicio se preste directamente a personas agricultoras o ganaderas; que quien lo presta actúe como prestador independiente; y que se destine a actividades agropecuarias por alguno de los conceptos que la propia disposición enumera. La primera mira a quien recibe el servicio, la segunda a la calidad de quien lo presta y la tercera a su naturaleza y destino, que es donde la autoridad centró su negativa.</w:t>
      </w:r>
    </w:p>
    <w:p>
      <w:pPr>
        <w:spacing w:line="360" w:lineRule="auto"/>
        <w:jc w:val="both"/>
      </w:pPr>
      <w:r>
        <w:rPr>
          <w:rFonts w:ascii="Arial" w:hAnsi="Arial"/>
          <w:b w:val="0"/>
          <w:i w:val="0"/>
          <w:sz w:val="28"/>
        </w:rPr>
        <w:t>El catálogo de conceptos es limitativo, porque la tasa del 0% alcanza únicamente a los servicios que correspondan a las hipótesis enunciadas. Ese carácter, sin embargo, sólo define qué conceptos comprende la norma; la pregunta de si un servicio concreto pertenece a uno de ellos es distinta, y se responde examinando lo que ese servicio fue en los hechos, con independencia del nombre que se le asignó en la factura.</w:t>
      </w:r>
    </w:p>
    <w:p>
      <w:pPr>
        <w:spacing w:line="360" w:lineRule="auto"/>
        <w:jc w:val="both"/>
      </w:pPr>
      <w:r>
        <w:rPr>
          <w:rFonts w:ascii="Arial" w:hAnsi="Arial"/>
          <w:b w:val="0"/>
          <w:i w:val="0"/>
          <w:sz w:val="28"/>
        </w:rPr>
        <w:t>Responder esa pregunta es una operación de calificación jurídica de los hechos, que la doctrina describe como la identificación del concepto jurídico implícito en las circunstancias particulares del caso, atendiendo a la sustancia y al significado real de las conductas y superando las decisiones basadas en meras apariencias formales.</w:t>
      </w:r>
      <w:r>
        <w:rPr>
          <w:rFonts w:ascii="Arial" w:hAnsi="Arial"/>
          <w:vertAlign w:val="superscript"/>
        </w:rPr>
        <w:t>1</w:t>
      </w:r>
      <w:r>
        <w:rPr>
          <w:rFonts w:ascii="Arial" w:hAnsi="Arial"/>
          <w:b w:val="0"/>
          <w:i w:val="0"/>
          <w:sz w:val="28"/>
        </w:rPr>
        <w:t xml:space="preserve"> Una denominación administrativa es, precisamente, una apariencia formal: informa sobre el servicio, pero no lo califica.</w:t>
      </w:r>
    </w:p>
    <w:p>
      <w:pPr>
        <w:spacing w:line="360" w:lineRule="auto"/>
        <w:jc w:val="both"/>
      </w:pPr>
      <w:r>
        <w:rPr>
          <w:rFonts w:ascii="Arial" w:hAnsi="Arial"/>
          <w:b w:val="0"/>
          <w:i w:val="0"/>
          <w:sz w:val="28"/>
        </w:rPr>
        <w:t>El comprobante fiscal cumple, por su parte, una función descriptiva acotada. En ese mismo fallo se razonó que la descripción del servicio que exige el artículo 29-A, fracción V, del Código Fiscal de la Federación se satisface con su idea general, y que sus pormenores pueden constar en un documento distinto, cuya finalidad es determinar lo que integra la prestación del servicio. Además, la clave con que se identifica el servicio en el comprobante se elige de un catálogo delimitado por la autoridad, que no siempre refleja con exactitud la labor prestada.</w:t>
      </w:r>
    </w:p>
    <w:p>
      <w:pPr>
        <w:spacing w:line="360" w:lineRule="auto"/>
        <w:jc w:val="both"/>
      </w:pPr>
      <w:r>
        <w:rPr>
          <w:rFonts w:ascii="Arial" w:hAnsi="Arial"/>
          <w:b w:val="0"/>
          <w:i w:val="0"/>
          <w:sz w:val="28"/>
        </w:rPr>
        <w:t>La interpretación del inciso debe atender, además, a su finalidad. El argumento teleológico manda interpretar una norma atendiendo a la finalidad que persigue, sea la querida por el legislador o la que se desprende de la propia disposición.</w:t>
      </w:r>
      <w:r>
        <w:rPr>
          <w:rFonts w:ascii="Arial" w:hAnsi="Arial"/>
          <w:vertAlign w:val="superscript"/>
        </w:rPr>
        <w:t>2</w:t>
      </w:r>
      <w:r>
        <w:rPr>
          <w:rFonts w:ascii="Arial" w:hAnsi="Arial"/>
          <w:b w:val="0"/>
          <w:i w:val="0"/>
          <w:sz w:val="28"/>
        </w:rPr>
        <w:t xml:space="preserve"> El fallo ilustrativo identificó como fin del inciso el de fortalecer el desarrollo del sector primario, de manera que los servicios que el agricultor recibe para su actividad se graven a la tasa del 0% aun cuando los preste un tercero que tiene gravadas sus actividades a la tasa del 16%.</w:t>
      </w:r>
    </w:p>
    <w:p>
      <w:pPr>
        <w:spacing w:line="360" w:lineRule="auto"/>
        <w:jc w:val="both"/>
      </w:pPr>
      <w:r>
        <w:rPr>
          <w:rFonts w:ascii="Arial" w:hAnsi="Arial"/>
          <w:b w:val="0"/>
          <w:i w:val="0"/>
          <w:sz w:val="28"/>
        </w:rPr>
        <w:t xml:space="preserve">Leídas conforme a esa finalidad, la expresión </w:t>
      </w:r>
      <w:r>
        <w:rPr>
          <w:rFonts w:ascii="Arial" w:hAnsi="Arial"/>
          <w:b w:val="0"/>
          <w:i/>
          <w:sz w:val="28"/>
        </w:rPr>
        <w:t>“preparación de terrenos”</w:t>
      </w:r>
      <w:r>
        <w:rPr>
          <w:rFonts w:ascii="Arial" w:hAnsi="Arial"/>
          <w:b w:val="0"/>
          <w:i w:val="0"/>
          <w:sz w:val="28"/>
        </w:rPr>
        <w:t xml:space="preserve"> comprende las operaciones necesarias para dejar el suelo en condiciones de recibir el cultivo, y la expresión </w:t>
      </w:r>
      <w:r>
        <w:rPr>
          <w:rFonts w:ascii="Arial" w:hAnsi="Arial"/>
          <w:b w:val="0"/>
          <w:i/>
          <w:sz w:val="28"/>
        </w:rPr>
        <w:t>“erradicación de plagas”</w:t>
      </w:r>
      <w:r>
        <w:rPr>
          <w:rFonts w:ascii="Arial" w:hAnsi="Arial"/>
          <w:b w:val="0"/>
          <w:i w:val="0"/>
          <w:sz w:val="28"/>
        </w:rPr>
        <w:t xml:space="preserve"> comprende su combate tanto preventivo como curativo. Excluir de esas expresiones labores que en su significado ordinario les pertenecen sería una interpretación restrictiva, que es la que circunscribe el significado prima facie de una disposición y deja fuera supuestos de hecho que la lectura literal incluiría.</w:t>
      </w:r>
      <w:r>
        <w:rPr>
          <w:rFonts w:ascii="Arial" w:hAnsi="Arial"/>
          <w:vertAlign w:val="superscript"/>
        </w:rPr>
        <w:t>3</w:t>
      </w:r>
    </w:p>
    <w:p>
      <w:pPr>
        <w:spacing w:line="360" w:lineRule="auto"/>
        <w:jc w:val="both"/>
      </w:pPr>
      <w:r>
        <w:rPr>
          <w:rFonts w:ascii="Arial" w:hAnsi="Arial"/>
          <w:b w:val="0"/>
          <w:i w:val="0"/>
          <w:sz w:val="28"/>
        </w:rPr>
        <w:t>Por último, la naturaleza de un servicio agronómico es un hecho técnico, y su prueba admite, y con frecuencia exige, el auxilio de especialistas. La doctrina advierte que a la persona experta se le llama precisamente porque quien juzga no tiene los conocimientos necesarios para resolver cabalmente el caso, y que la utilidad de ese saber no debe hacerse depender de la preparación subjetiva de quien resuelve, sino de lo que exige la cuestión debatida.</w:t>
      </w:r>
      <w:r>
        <w:rPr>
          <w:rFonts w:ascii="Arial" w:hAnsi="Arial"/>
          <w:vertAlign w:val="superscript"/>
        </w:rPr>
        <w:t>4</w:t>
      </w:r>
      <w:r>
        <w:rPr>
          <w:rFonts w:ascii="Arial" w:hAnsi="Arial"/>
          <w:b w:val="0"/>
          <w:i w:val="0"/>
          <w:sz w:val="28"/>
        </w:rPr>
        <w:t xml:space="preserve"> El artículo 46, fracción III, de la ley procesal deja el valor de esa prueba, y el de las demás, a la prudente apreciación de la Sala.</w:t>
      </w:r>
    </w:p>
    <w:p>
      <w:pPr>
        <w:spacing w:line="360" w:lineRule="auto"/>
        <w:jc w:val="both"/>
      </w:pPr>
      <w:r>
        <w:rPr>
          <w:rFonts w:ascii="Arial" w:hAnsi="Arial"/>
          <w:b/>
          <w:sz w:val="28"/>
        </w:rPr>
        <w:t>IV. Aplicación al caso concreto y refutación de la motivación de la autoridad.</w:t>
      </w:r>
    </w:p>
    <w:p>
      <w:pPr>
        <w:spacing w:line="360" w:lineRule="auto"/>
        <w:jc w:val="both"/>
      </w:pPr>
      <w:r>
        <w:rPr>
          <w:rFonts w:ascii="Arial" w:hAnsi="Arial"/>
          <w:b w:val="0"/>
          <w:i w:val="0"/>
          <w:sz w:val="28"/>
        </w:rPr>
        <w:t xml:space="preserve">Los hechos del expediente encuadran en cada una de las tres condiciones del inciso. La parte actora tiene por objeto social </w:t>
      </w:r>
      <w:r>
        <w:rPr>
          <w:rFonts w:ascii="Arial" w:hAnsi="Arial"/>
          <w:b/>
          <w:i w:val="0"/>
          <w:sz w:val="28"/>
        </w:rPr>
        <w:t>[OBJETO SOCIAL DE LA PARTE ACTORA]</w:t>
      </w:r>
      <w:r>
        <w:rPr>
          <w:rFonts w:ascii="Arial" w:hAnsi="Arial"/>
          <w:b w:val="0"/>
          <w:i w:val="0"/>
          <w:sz w:val="28"/>
        </w:rPr>
        <w:t xml:space="preserve"> y celebró contratos de prestación de servicios con </w:t>
      </w:r>
      <w:r>
        <w:rPr>
          <w:rFonts w:ascii="Arial" w:hAnsi="Arial"/>
          <w:b/>
          <w:i w:val="0"/>
          <w:sz w:val="28"/>
        </w:rPr>
        <w:t>[CLIENTES AGRICULTORES O GANADEROS]</w:t>
      </w:r>
      <w:r>
        <w:rPr>
          <w:rFonts w:ascii="Arial" w:hAnsi="Arial"/>
          <w:b w:val="0"/>
          <w:i w:val="0"/>
          <w:sz w:val="28"/>
        </w:rPr>
        <w:t xml:space="preserve">, productores que destinaron los servicios contratados a su actividad agrícola; tales servicios se prestaron a ellos directamente y en forma independiente, como se desprende de </w:t>
      </w:r>
      <w:r>
        <w:rPr>
          <w:rFonts w:ascii="Arial" w:hAnsi="Arial"/>
          <w:b/>
          <w:i w:val="0"/>
          <w:sz w:val="28"/>
        </w:rPr>
        <w:t>[CONTRATOS, ÓRDENES DE ACTIVIDADES Y DEMÁS DOCUMENTOS EXHIBIDOS]</w:t>
      </w:r>
      <w:r>
        <w:rPr>
          <w:rFonts w:ascii="Arial" w:hAnsi="Arial"/>
          <w:b w:val="0"/>
          <w:i w:val="0"/>
          <w:sz w:val="28"/>
        </w:rPr>
        <w:t>.</w:t>
      </w:r>
    </w:p>
    <w:p>
      <w:pPr>
        <w:spacing w:line="360" w:lineRule="auto"/>
        <w:jc w:val="both"/>
      </w:pPr>
      <w:r>
        <w:rPr>
          <w:rFonts w:ascii="Arial" w:hAnsi="Arial"/>
          <w:b w:val="0"/>
          <w:i w:val="0"/>
          <w:sz w:val="28"/>
        </w:rPr>
        <w:t xml:space="preserve">En cuanto a su contenido, las órdenes de actividades y las recomendaciones técnicas de producción describen labores concretas: </w:t>
      </w:r>
      <w:r>
        <w:rPr>
          <w:rFonts w:ascii="Arial" w:hAnsi="Arial"/>
          <w:b/>
          <w:i w:val="0"/>
          <w:sz w:val="28"/>
        </w:rPr>
        <w:t>[LABORES CONCRETAS PRESTADAS]</w:t>
      </w:r>
      <w:r>
        <w:rPr>
          <w:rFonts w:ascii="Arial" w:hAnsi="Arial"/>
          <w:b w:val="0"/>
          <w:i w:val="0"/>
          <w:sz w:val="28"/>
        </w:rPr>
        <w:t xml:space="preserve">. Son, en palabras de la Sala en el caso ilustrativo, </w:t>
      </w:r>
      <w:r>
        <w:rPr>
          <w:rFonts w:ascii="Arial" w:hAnsi="Arial"/>
          <w:b w:val="0"/>
          <w:i/>
          <w:sz w:val="28"/>
        </w:rPr>
        <w:t>“labores de acondicionamiento que se realizan en el suelo anterior a la siembra”</w:t>
      </w:r>
      <w:r>
        <w:rPr>
          <w:rFonts w:ascii="Arial" w:hAnsi="Arial"/>
          <w:b w:val="0"/>
          <w:i w:val="0"/>
          <w:sz w:val="28"/>
        </w:rPr>
        <w:t>, junto con el combate de plagas en sus etapas preventiva y curativa, de modo que los servicios encuadran en las hipótesis de preparación de terrenos y de erradicación de plagas.</w:t>
      </w:r>
    </w:p>
    <w:p>
      <w:pPr>
        <w:spacing w:line="360" w:lineRule="auto"/>
        <w:jc w:val="both"/>
      </w:pPr>
      <w:r>
        <w:rPr>
          <w:rFonts w:ascii="Arial" w:hAnsi="Arial"/>
          <w:b w:val="0"/>
          <w:i w:val="0"/>
          <w:sz w:val="28"/>
        </w:rPr>
        <w:t xml:space="preserve">Las periciales en agronomía y en contabilidad que se ofrecen en este juicio confirman esa conclusión desde el saber especializado: la primera, al identificar técnicamente cada labor y su función dentro del ciclo de cultivo; la segunda, al vincular cada comprobante observado con el contrato, la orden de actividades y el registro contable que le corresponden. Adminiculados entre sí, esos medios de prueba guardan un enlace que acredita que lo facturado como </w:t>
      </w:r>
      <w:r>
        <w:rPr>
          <w:rFonts w:ascii="Arial" w:hAnsi="Arial"/>
          <w:b/>
          <w:i w:val="0"/>
          <w:sz w:val="28"/>
        </w:rPr>
        <w:t>[DESCRIPCIÓN ASENTADA EN LOS COMPROBANTES]</w:t>
      </w:r>
      <w:r>
        <w:rPr>
          <w:rFonts w:ascii="Arial" w:hAnsi="Arial"/>
          <w:b w:val="0"/>
          <w:i w:val="0"/>
          <w:sz w:val="28"/>
        </w:rPr>
        <w:t xml:space="preserve"> fue gestión de cultivo para preparar el terreno y erradicar plagas.</w:t>
      </w:r>
    </w:p>
    <w:p>
      <w:pPr>
        <w:spacing w:line="360" w:lineRule="auto"/>
        <w:jc w:val="both"/>
      </w:pPr>
      <w:r>
        <w:rPr>
          <w:rFonts w:ascii="Arial" w:hAnsi="Arial"/>
          <w:b w:val="0"/>
          <w:i w:val="0"/>
          <w:sz w:val="28"/>
        </w:rPr>
        <w:t xml:space="preserve">Frente a ello, la autoridad razona así: los comprobantes dicen </w:t>
      </w:r>
      <w:r>
        <w:rPr>
          <w:rFonts w:ascii="Arial" w:hAnsi="Arial"/>
          <w:b w:val="0"/>
          <w:i/>
          <w:sz w:val="28"/>
        </w:rPr>
        <w:t>“asesoría”</w:t>
      </w:r>
      <w:r>
        <w:rPr>
          <w:rFonts w:ascii="Arial" w:hAnsi="Arial"/>
          <w:b w:val="0"/>
          <w:i w:val="0"/>
          <w:sz w:val="28"/>
        </w:rPr>
        <w:t>; la asesoría se grava a la tasa del 16%; luego, los servicios se gravan a esa tasa. El razonamiento incurre en la falacia de ambigüedad o del equívoco, que se produce cuando en un mismo argumento se emplean palabras o frases en más de un sentido.</w:t>
      </w:r>
      <w:r>
        <w:rPr>
          <w:rFonts w:ascii="Arial" w:hAnsi="Arial"/>
          <w:vertAlign w:val="superscript"/>
        </w:rPr>
        <w:t>5</w:t>
      </w:r>
    </w:p>
    <w:p>
      <w:pPr>
        <w:spacing w:line="360" w:lineRule="auto"/>
        <w:jc w:val="both"/>
      </w:pPr>
      <w:r>
        <w:rPr>
          <w:rFonts w:ascii="Arial" w:hAnsi="Arial"/>
          <w:b w:val="0"/>
          <w:i w:val="0"/>
          <w:sz w:val="28"/>
        </w:rPr>
        <w:t xml:space="preserve">En la primera premisa, </w:t>
      </w:r>
      <w:r>
        <w:rPr>
          <w:rFonts w:ascii="Arial" w:hAnsi="Arial"/>
          <w:b w:val="0"/>
          <w:i/>
          <w:sz w:val="28"/>
        </w:rPr>
        <w:t>“asesoría”</w:t>
      </w:r>
      <w:r>
        <w:rPr>
          <w:rFonts w:ascii="Arial" w:hAnsi="Arial"/>
          <w:b w:val="0"/>
          <w:i w:val="0"/>
          <w:sz w:val="28"/>
        </w:rPr>
        <w:t xml:space="preserve"> es la etiqueta con que un catálogo resume la idea general de un servicio cuyos pormenores constan en el contrato y en las órdenes de actividades; en la segunda, la autoridad emplea el mismo vocablo como categoría jurídica de un servicio profesional ajeno a las labores del campo. El término medio cambia de significado entre una premisa y otra, y la conclusión queda sin sostén: del nombre del comprobante no se sigue la naturaleza del servicio.</w:t>
      </w:r>
    </w:p>
    <w:p>
      <w:pPr>
        <w:spacing w:line="360" w:lineRule="auto"/>
        <w:jc w:val="both"/>
      </w:pPr>
      <w:r>
        <w:rPr>
          <w:rFonts w:ascii="Arial" w:hAnsi="Arial"/>
          <w:b w:val="0"/>
          <w:i w:val="0"/>
          <w:sz w:val="28"/>
        </w:rPr>
        <w:t>El argumento incurre, además, en la falacia de eludir la cuestión o ignoratio elenchi, que consiste en probar otra cosa diferente de la que se cuestiona.</w:t>
      </w:r>
      <w:r>
        <w:rPr>
          <w:rFonts w:ascii="Arial" w:hAnsi="Arial"/>
          <w:vertAlign w:val="superscript"/>
        </w:rPr>
        <w:t>6</w:t>
      </w:r>
      <w:r>
        <w:rPr>
          <w:rFonts w:ascii="Arial" w:hAnsi="Arial"/>
          <w:b w:val="0"/>
          <w:i w:val="0"/>
          <w:sz w:val="28"/>
        </w:rPr>
        <w:t xml:space="preserve"> Lo debatido era qué servicio se prestó, a quién y con qué destino; la autoridad sólo demostró qué palabra aparece en los comprobantes, hecho que nadie controvierte y que deja sin respuesta la pregunta relevante.</w:t>
      </w:r>
    </w:p>
    <w:p>
      <w:pPr>
        <w:spacing w:line="360" w:lineRule="auto"/>
        <w:jc w:val="both"/>
      </w:pPr>
      <w:r>
        <w:rPr>
          <w:rFonts w:ascii="Arial" w:hAnsi="Arial"/>
          <w:b w:val="0"/>
          <w:i w:val="0"/>
          <w:sz w:val="28"/>
        </w:rPr>
        <w:t>Esa elusión tuvo una consecuencia concreta: la autoridad no valoró los contratos, las órdenes de actividades ni las recomendaciones técnicas que se le exhibieron, ni se pronunció frontalmente sobre ellos, en contravención del artículo 22 del Código Fiscal de la Federación, que la obliga a devolver lo que proceda conforme a las leyes fiscales, deber que no se cumple sin examinar los elementos aportados para acreditar la procedencia. Al calificar los servicios por su denominación, apreció equivocadamente los hechos y dejó de aplicar la disposición debida.</w:t>
      </w:r>
    </w:p>
    <w:p>
      <w:pPr>
        <w:spacing w:line="360" w:lineRule="auto"/>
        <w:jc w:val="both"/>
      </w:pPr>
      <w:r>
        <w:rPr>
          <w:rFonts w:ascii="Arial" w:hAnsi="Arial"/>
          <w:b w:val="0"/>
          <w:i w:val="0"/>
          <w:sz w:val="28"/>
        </w:rPr>
        <w:t>No obsta el carácter limitativo de las hipótesis del inciso, ni la regla de aplicación estricta que rige a las disposiciones fiscales relativas a la tasa. Este concepto no pide extender la tasa del 0% a servicios que la norma omite; pide aplicarla a servicios que caben en sus propias palabras. Aplicar estrictamente un precepto exige atribuirle su significado propio, y negar que el acondicionamiento del suelo sea preparación de terrenos, o que el combate de plagas sea su erradicación, equivale a reducir ese significado, operación que tampoco autoriza aquella regla.</w:t>
      </w:r>
    </w:p>
    <w:p>
      <w:pPr>
        <w:spacing w:line="360" w:lineRule="auto"/>
        <w:jc w:val="both"/>
      </w:pPr>
      <w:r>
        <w:rPr>
          <w:rFonts w:ascii="Arial" w:hAnsi="Arial"/>
          <w:b w:val="0"/>
          <w:i w:val="0"/>
          <w:sz w:val="28"/>
        </w:rPr>
        <w:t>Tampoco altera la conclusión que el servicio incluya dirección o recomendación técnica. Cuando la recomendación se integra a la ejecución de las labores en el predio del productor y se dirige a preparar el terreno o a combatir las plagas, el componente técnico forma parte del servicio agrícola y comparte su tratamiento, porque el inciso atiende al concepto y al destino del servicio, y no al grado de especialización de quien lo presta.</w:t>
      </w:r>
    </w:p>
    <w:p>
      <w:pPr>
        <w:spacing w:line="360" w:lineRule="auto"/>
        <w:jc w:val="both"/>
      </w:pPr>
      <w:r>
        <w:rPr>
          <w:rFonts w:ascii="Arial" w:hAnsi="Arial"/>
          <w:b w:val="0"/>
          <w:i w:val="0"/>
          <w:sz w:val="28"/>
        </w:rPr>
        <w:t>La consecuencia de aceptar la postura de la autoridad confirma su error: si bastara la clave del comprobante para fijar la tasa, el beneficio que el legislador dispuso para el sector primario dependería de un catálogo administrativo y no de la realidad de la operación, y la autoridad podría negar devoluciones procedentes sin examinar prueba alguna. Ninguna interpretación que conduzca a ese resultado es compatible con la finalidad del precepto ni con el deber de verificar la procedencia de la devolución.</w:t>
      </w:r>
    </w:p>
    <w:p>
      <w:pPr>
        <w:spacing w:line="360" w:lineRule="auto"/>
        <w:jc w:val="both"/>
      </w:pPr>
      <w:r>
        <w:rPr>
          <w:rFonts w:ascii="Arial" w:hAnsi="Arial"/>
          <w:b/>
          <w:sz w:val="28"/>
        </w:rPr>
        <w:t>V. Conclusión y petición parcial.</w:t>
      </w:r>
    </w:p>
    <w:p>
      <w:pPr>
        <w:spacing w:line="360" w:lineRule="auto"/>
        <w:jc w:val="both"/>
      </w:pPr>
      <w:r>
        <w:rPr>
          <w:rFonts w:ascii="Arial" w:hAnsi="Arial"/>
          <w:b w:val="0"/>
          <w:i w:val="0"/>
          <w:sz w:val="28"/>
        </w:rPr>
        <w:t>En suma: los servicios observados se prestaron directamente a personas agricultoras, por un prestador independiente y con destino a la actividad agrícola; consistieron en preparación de terrenos y en erradicación de plagas; y su descripción genérica en los comprobantes no altera esa naturaleza. La resolución impugnada y la recurrida descansan, por tanto, en una apreciación equivocada de los hechos y dejaron de aplicar la disposición debida.</w:t>
      </w:r>
    </w:p>
    <w:p>
      <w:pPr>
        <w:spacing w:line="360" w:lineRule="auto"/>
        <w:jc w:val="both"/>
      </w:pPr>
      <w:r>
        <w:rPr>
          <w:rFonts w:ascii="Arial" w:hAnsi="Arial"/>
          <w:b w:val="0"/>
          <w:i w:val="0"/>
          <w:sz w:val="28"/>
        </w:rPr>
        <w:t xml:space="preserve">Por lo expuesto, procede declarar fundado este concepto y, con fundamento en los artículos 51, fracción IV, y 52, fracción V, inciso a), de la Ley Federal de Procedimiento Contencioso Administrativo, declarar la nulidad de la resolución impugnada y de la recurrida, reconocer el derecho subjetivo de la parte actora a la devolución del saldo a favor por </w:t>
      </w:r>
      <w:r>
        <w:rPr>
          <w:rFonts w:ascii="Arial" w:hAnsi="Arial"/>
          <w:b/>
          <w:i w:val="0"/>
          <w:sz w:val="28"/>
        </w:rPr>
        <w:t>[MONTO NEGADO EN DEVOLUCIÓN]</w:t>
      </w:r>
      <w:r>
        <w:rPr>
          <w:rFonts w:ascii="Arial" w:hAnsi="Arial"/>
          <w:b w:val="0"/>
          <w:i w:val="0"/>
          <w:sz w:val="28"/>
        </w:rPr>
        <w:t xml:space="preserve"> y condenar a la autoridad a efectuarla con la actualización y los intereses que procedan conforme a los artículos 22 y 22-A del Código Fiscal de la Federación.</w:t>
      </w:r>
    </w:p>
    <w:p>
      <w:pPr>
        <w:spacing w:line="360" w:lineRule="auto"/>
        <w:jc w:val="both"/>
      </w:pPr>
      <w:r>
        <w:rPr>
          <w:rFonts w:ascii="Arial" w:hAnsi="Arial"/>
          <w:b w:val="0"/>
          <w:i w:val="0"/>
          <w:sz w:val="28"/>
        </w:rPr>
        <w:t>La Sala cuenta con los elementos para ese pronunciamiento. El artículo 50 de la ley procesal le ordena, cuando condene a la devolución de una cantidad, constatar previamente el derecho de la persona particular además de la ilegalidad de la resolución, y en el caso el único motivo de la negativa fue la tasa aplicable, sin que la autoridad objetara el importe del saldo ni la documentación anexa a la solicitud; por ello, una nulidad para el solo efecto de que se emita otra resolución dejaría sin tutela plena el derecho acreditado.</w:t>
      </w:r>
    </w:p>
    <w:p/>
    <w:p>
      <w:r>
        <w:rPr>
          <w:rFonts w:ascii="Arial" w:hAnsi="Arial"/>
          <w:b/>
          <w:sz w:val="22"/>
        </w:rPr>
        <w:t>NOTAS</w:t>
      </w:r>
    </w:p>
    <w:p>
      <w:pPr>
        <w:spacing w:after="60"/>
        <w:ind w:left="360" w:hanging="360"/>
        <w:jc w:val="both"/>
      </w:pPr>
      <w:r>
        <w:rPr>
          <w:rFonts w:ascii="Arial" w:hAnsi="Arial"/>
          <w:sz w:val="20"/>
          <w:vertAlign w:val="superscript"/>
        </w:rPr>
        <w:t>1</w:t>
      </w:r>
      <w:r>
        <w:rPr>
          <w:sz w:val="20"/>
        </w:rPr>
        <w:t xml:space="preserve"> </w:t>
      </w:r>
      <w:r>
        <w:rPr>
          <w:rFonts w:ascii="Arial" w:hAnsi="Arial"/>
          <w:i w:val="0"/>
          <w:sz w:val="20"/>
        </w:rPr>
        <w:t xml:space="preserve">TRON PETIT, Jean Claude, </w:t>
      </w:r>
      <w:r>
        <w:rPr>
          <w:rFonts w:ascii="Arial" w:hAnsi="Arial"/>
          <w:i/>
          <w:sz w:val="20"/>
        </w:rPr>
        <w:t>Argumentación en el amparo. Esquema formal de los conceptos de violación y las sentencias de amparo</w:t>
      </w:r>
      <w:r>
        <w:rPr>
          <w:rFonts w:ascii="Arial" w:hAnsi="Arial"/>
          <w:i w:val="0"/>
          <w:sz w:val="20"/>
        </w:rPr>
        <w:t>, Porrúa, México, 2009, p. 91.</w:t>
      </w:r>
    </w:p>
    <w:p>
      <w:pPr>
        <w:spacing w:after="60"/>
        <w:ind w:left="360" w:hanging="360"/>
        <w:jc w:val="both"/>
      </w:pPr>
      <w:r>
        <w:rPr>
          <w:rFonts w:ascii="Arial" w:hAnsi="Arial"/>
          <w:sz w:val="20"/>
          <w:vertAlign w:val="superscript"/>
        </w:rPr>
        <w:t>2</w:t>
      </w:r>
      <w:r>
        <w:rPr>
          <w:sz w:val="20"/>
        </w:rPr>
        <w:t xml:space="preserve"> </w:t>
      </w:r>
      <w:r>
        <w:rPr>
          <w:rFonts w:ascii="Arial" w:hAnsi="Arial"/>
          <w:i w:val="0"/>
          <w:sz w:val="20"/>
        </w:rPr>
        <w:t xml:space="preserve">FERRER MAC-GREGOR, Eduardo et al. (coord.), </w:t>
      </w:r>
      <w:r>
        <w:rPr>
          <w:rFonts w:ascii="Arial" w:hAnsi="Arial"/>
          <w:i/>
          <w:sz w:val="20"/>
        </w:rPr>
        <w:t>Diccionario de derecho procesal constitucional y convencional. Tomo I</w:t>
      </w:r>
      <w:r>
        <w:rPr>
          <w:rFonts w:ascii="Arial" w:hAnsi="Arial"/>
          <w:i w:val="0"/>
          <w:sz w:val="20"/>
        </w:rPr>
        <w:t>, 3ª ed., Universidad Nacional Autónoma de México, Instituto de Investigaciones Jurídicas; Instituto de Estudios Constitucionales del Estado de Querétaro, México, 2021, p. 154.</w:t>
      </w:r>
    </w:p>
    <w:p>
      <w:pPr>
        <w:spacing w:after="60"/>
        <w:ind w:left="360" w:hanging="360"/>
        <w:jc w:val="both"/>
      </w:pPr>
      <w:r>
        <w:rPr>
          <w:rFonts w:ascii="Arial" w:hAnsi="Arial"/>
          <w:sz w:val="20"/>
          <w:vertAlign w:val="superscript"/>
        </w:rPr>
        <w:t>3</w:t>
      </w:r>
      <w:r>
        <w:rPr>
          <w:sz w:val="20"/>
        </w:rPr>
        <w:t xml:space="preserve"> </w:t>
      </w:r>
      <w:r>
        <w:rPr>
          <w:rFonts w:ascii="Arial" w:hAnsi="Arial"/>
          <w:i w:val="0"/>
          <w:sz w:val="20"/>
        </w:rPr>
        <w:t xml:space="preserve">TOLNAY, Iván C., </w:t>
      </w:r>
      <w:r>
        <w:rPr>
          <w:rFonts w:ascii="Arial" w:hAnsi="Arial"/>
          <w:i/>
          <w:sz w:val="20"/>
        </w:rPr>
        <w:t>Jerarquía de métodos de interpretación. Problemas y soluciones de la interpretación judicial contemporánea en países de tradición legislativa</w:t>
      </w:r>
      <w:r>
        <w:rPr>
          <w:rFonts w:ascii="Arial" w:hAnsi="Arial"/>
          <w:i w:val="0"/>
          <w:sz w:val="20"/>
        </w:rPr>
        <w:t>, Tirant lo Blanch, Valencia, 2022, p. 115.</w:t>
      </w:r>
    </w:p>
    <w:p>
      <w:pPr>
        <w:spacing w:after="60"/>
        <w:ind w:left="360" w:hanging="360"/>
        <w:jc w:val="both"/>
      </w:pPr>
      <w:r>
        <w:rPr>
          <w:rFonts w:ascii="Arial" w:hAnsi="Arial"/>
          <w:sz w:val="20"/>
          <w:vertAlign w:val="superscript"/>
        </w:rPr>
        <w:t>4</w:t>
      </w:r>
      <w:r>
        <w:rPr>
          <w:sz w:val="20"/>
        </w:rPr>
        <w:t xml:space="preserve"> </w:t>
      </w:r>
      <w:r>
        <w:rPr>
          <w:rFonts w:ascii="Arial" w:hAnsi="Arial"/>
          <w:i w:val="0"/>
          <w:sz w:val="20"/>
        </w:rPr>
        <w:t xml:space="preserve">VÁZQUEZ, Carmen (coord.), </w:t>
      </w:r>
      <w:r>
        <w:rPr>
          <w:rFonts w:ascii="Arial" w:hAnsi="Arial"/>
          <w:i/>
          <w:sz w:val="20"/>
        </w:rPr>
        <w:t>Manual de prueba pericial</w:t>
      </w:r>
      <w:r>
        <w:rPr>
          <w:rFonts w:ascii="Arial" w:hAnsi="Arial"/>
          <w:i w:val="0"/>
          <w:sz w:val="20"/>
        </w:rPr>
        <w:t>, Suprema Corte de Justicia de la Nación, México, 2022, p. 9.</w:t>
      </w:r>
    </w:p>
    <w:p>
      <w:pPr>
        <w:spacing w:after="60"/>
        <w:ind w:left="360" w:hanging="360"/>
        <w:jc w:val="both"/>
      </w:pPr>
      <w:r>
        <w:rPr>
          <w:rFonts w:ascii="Arial" w:hAnsi="Arial"/>
          <w:sz w:val="20"/>
          <w:vertAlign w:val="superscript"/>
        </w:rPr>
        <w:t>5</w:t>
      </w:r>
      <w:r>
        <w:rPr>
          <w:sz w:val="20"/>
        </w:rPr>
        <w:t xml:space="preserve"> </w:t>
      </w:r>
      <w:r>
        <w:rPr>
          <w:rFonts w:ascii="Arial" w:hAnsi="Arial"/>
          <w:i w:val="0"/>
          <w:sz w:val="20"/>
        </w:rPr>
        <w:t xml:space="preserve">GARCÍA DAMBORENEA, Ricardo, </w:t>
      </w:r>
      <w:r>
        <w:rPr>
          <w:rFonts w:ascii="Arial" w:hAnsi="Arial"/>
          <w:i/>
          <w:sz w:val="20"/>
        </w:rPr>
        <w:t>Diccionario de falacias</w:t>
      </w:r>
      <w:r>
        <w:rPr>
          <w:rFonts w:ascii="Arial" w:hAnsi="Arial"/>
          <w:i w:val="0"/>
          <w:sz w:val="20"/>
        </w:rPr>
        <w:t>, s. f., p. 7.</w:t>
      </w:r>
    </w:p>
    <w:p>
      <w:pPr>
        <w:spacing w:after="60"/>
        <w:ind w:left="360" w:hanging="360"/>
        <w:jc w:val="both"/>
      </w:pPr>
      <w:r>
        <w:rPr>
          <w:rFonts w:ascii="Arial" w:hAnsi="Arial"/>
          <w:sz w:val="20"/>
          <w:vertAlign w:val="superscript"/>
        </w:rPr>
        <w:t>6</w:t>
      </w:r>
      <w:r>
        <w:rPr>
          <w:sz w:val="20"/>
        </w:rPr>
        <w:t xml:space="preserve"> </w:t>
      </w:r>
      <w:r>
        <w:rPr>
          <w:rFonts w:ascii="Arial" w:hAnsi="Arial"/>
          <w:i w:val="0"/>
          <w:sz w:val="20"/>
        </w:rPr>
        <w:t>GARCÍA DAMBORENEA, op. cit.</w:t>
      </w:r>
      <w:r>
        <w:rPr>
          <w:rFonts w:ascii="Arial" w:hAnsi="Arial"/>
          <w:i w:val="0"/>
          <w:sz w:val="20"/>
        </w:rPr>
        <w:t>, p. 38.</w:t>
      </w:r>
    </w:p>
    <w:p/>
    <w:p>
      <w:r>
        <w:rPr>
          <w:rFonts w:ascii="Arial" w:hAnsi="Arial"/>
          <w:b/>
          <w:sz w:val="22"/>
        </w:rPr>
        <w:t>BIBLIOGRAFÍA</w:t>
      </w:r>
    </w:p>
    <w:p>
      <w:pPr>
        <w:spacing w:after="60"/>
        <w:ind w:left="360" w:hanging="360"/>
        <w:jc w:val="both"/>
      </w:pPr>
      <w:r>
        <w:rPr>
          <w:rFonts w:ascii="Arial" w:hAnsi="Arial"/>
          <w:i w:val="0"/>
          <w:sz w:val="20"/>
        </w:rPr>
        <w:t xml:space="preserve">FERRER MAC-GREGOR, Eduardo et al. (coord.), </w:t>
      </w:r>
      <w:r>
        <w:rPr>
          <w:rFonts w:ascii="Arial" w:hAnsi="Arial"/>
          <w:i/>
          <w:sz w:val="20"/>
        </w:rPr>
        <w:t>Diccionario de derecho procesal constitucional y convencional. Tomo I</w:t>
      </w:r>
      <w:r>
        <w:rPr>
          <w:rFonts w:ascii="Arial" w:hAnsi="Arial"/>
          <w:i w:val="0"/>
          <w:sz w:val="20"/>
        </w:rPr>
        <w:t>, 3ª ed., Universidad Nacional Autónoma de México, Instituto de Investigaciones Jurídicas; Instituto de Estudios Constitucionales del Estado de Querétaro, México, 2021.</w:t>
      </w:r>
    </w:p>
    <w:p>
      <w:pPr>
        <w:spacing w:after="60"/>
        <w:ind w:left="360" w:hanging="360"/>
        <w:jc w:val="both"/>
      </w:pPr>
      <w:r>
        <w:rPr>
          <w:rFonts w:ascii="Arial" w:hAnsi="Arial"/>
          <w:i w:val="0"/>
          <w:sz w:val="20"/>
        </w:rPr>
        <w:t xml:space="preserve">GARCÍA DAMBORENEA, Ricardo, </w:t>
      </w:r>
      <w:r>
        <w:rPr>
          <w:rFonts w:ascii="Arial" w:hAnsi="Arial"/>
          <w:i/>
          <w:sz w:val="20"/>
        </w:rPr>
        <w:t>Diccionario de falacias</w:t>
      </w:r>
      <w:r>
        <w:rPr>
          <w:rFonts w:ascii="Arial" w:hAnsi="Arial"/>
          <w:i w:val="0"/>
          <w:sz w:val="20"/>
        </w:rPr>
        <w:t>, s. f.</w:t>
      </w:r>
    </w:p>
    <w:p>
      <w:pPr>
        <w:spacing w:after="60"/>
        <w:ind w:left="360" w:hanging="360"/>
        <w:jc w:val="both"/>
      </w:pPr>
      <w:r>
        <w:rPr>
          <w:rFonts w:ascii="Arial" w:hAnsi="Arial"/>
          <w:i w:val="0"/>
          <w:sz w:val="20"/>
        </w:rPr>
        <w:t xml:space="preserve">TOLNAY, Iván C., </w:t>
      </w:r>
      <w:r>
        <w:rPr>
          <w:rFonts w:ascii="Arial" w:hAnsi="Arial"/>
          <w:i/>
          <w:sz w:val="20"/>
        </w:rPr>
        <w:t>Jerarquía de métodos de interpretación. Problemas y soluciones de la interpretación judicial contemporánea en países de tradición legislativa</w:t>
      </w:r>
      <w:r>
        <w:rPr>
          <w:rFonts w:ascii="Arial" w:hAnsi="Arial"/>
          <w:i w:val="0"/>
          <w:sz w:val="20"/>
        </w:rPr>
        <w:t>, Tirant lo Blanch, Valencia, 2022.</w:t>
      </w:r>
    </w:p>
    <w:p>
      <w:pPr>
        <w:spacing w:after="60"/>
        <w:ind w:left="360" w:hanging="360"/>
        <w:jc w:val="both"/>
      </w:pPr>
      <w:r>
        <w:rPr>
          <w:rFonts w:ascii="Arial" w:hAnsi="Arial"/>
          <w:i w:val="0"/>
          <w:sz w:val="20"/>
        </w:rPr>
        <w:t xml:space="preserve">TRON PETIT, Jean Claude, </w:t>
      </w:r>
      <w:r>
        <w:rPr>
          <w:rFonts w:ascii="Arial" w:hAnsi="Arial"/>
          <w:i/>
          <w:sz w:val="20"/>
        </w:rPr>
        <w:t>Argumentación en el amparo. Esquema formal de los conceptos de violación y las sentencias de amparo</w:t>
      </w:r>
      <w:r>
        <w:rPr>
          <w:rFonts w:ascii="Arial" w:hAnsi="Arial"/>
          <w:i w:val="0"/>
          <w:sz w:val="20"/>
        </w:rPr>
        <w:t>, Porrúa, México, 2009.</w:t>
      </w:r>
    </w:p>
    <w:p>
      <w:pPr>
        <w:spacing w:after="60"/>
        <w:ind w:left="360" w:hanging="360"/>
        <w:jc w:val="both"/>
      </w:pPr>
      <w:r>
        <w:rPr>
          <w:rFonts w:ascii="Arial" w:hAnsi="Arial"/>
          <w:i w:val="0"/>
          <w:sz w:val="20"/>
        </w:rPr>
        <w:t xml:space="preserve">VÁZQUEZ, Carmen (coord.), </w:t>
      </w:r>
      <w:r>
        <w:rPr>
          <w:rFonts w:ascii="Arial" w:hAnsi="Arial"/>
          <w:i/>
          <w:sz w:val="20"/>
        </w:rPr>
        <w:t>Manual de prueba pericial</w:t>
      </w:r>
      <w:r>
        <w:rPr>
          <w:rFonts w:ascii="Arial" w:hAnsi="Arial"/>
          <w:i w:val="0"/>
          <w:sz w:val="20"/>
        </w:rPr>
        <w:t>, Suprema Corte de Justicia de la Nación, México, 2022.</w:t>
      </w:r>
    </w:p>
    <w:sectPr w:rsidR="00FC693F" w:rsidRPr="0006063C" w:rsidSect="00034616">
      <w:footerReference w:type="default" r:id="rId9"/>
      <w:pgSz w:w="12246" w:h="19276"/>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20"/>
      </w:rPr>
      <w:t xml:space="preserve">Página </w:t>
    </w:r>
    <w:r>
      <w:rPr>
        <w:rFonts w:ascii="Arial" w:hAnsi="Arial"/>
        <w:sz w:val="20"/>
      </w:rPr>
      <w:fldChar w:fldCharType="begin"/>
      <w:instrText xml:space="preserve">PAGE</w:instrText>
      <w:fldChar w:fldCharType="end"/>
    </w:r>
    <w:r>
      <w:rPr>
        <w:rFonts w:ascii="Arial" w:hAnsi="Arial"/>
        <w:sz w:val="20"/>
      </w:rPr>
      <w:t xml:space="preserve"> de </w:t>
    </w:r>
    <w:r>
      <w:rPr>
        <w:rFonts w:ascii="Arial" w:hAnsi="Arial"/>
        <w:sz w:val="20"/>
      </w:rPr>
      <w:fldChar w:fldCharType="begin"/>
      <w:instrText xml:space="preserve">NUMPAGES</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DocSecurity>0</DocSecurity>
  <ScaleCrop>false</ScaleCrop>
  <LinksUpToDate>false</LinksUpToDate>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category/>
</cp:coreProperties>
</file>