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NOTIFICACIÓN POR BUZÓN TRIBUTARIO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Este machote es el apartado de concepto de impugnación contra la notificación por buzón tributario, listo para insertarse en tu demanda de nulidad ante el TFJA. Primero reúne el oficio determinante, las constancias de notificación (si ya las conoces) y la evidencia de tu mecanismo de contacto registrado. Después llena los campos entre corchetes, verifica el cómputo de los plazos con el calendario oficial y ajusta la redacción del defecto concreto a lo que muestren tus constancias. Recuerda: la demanda de nulidad se presenta en treinta días.</w:t>
      </w:r>
    </w:p>
    <w:p>
      <w:pPr>
        <w:spacing w:line="360" w:lineRule="auto"/>
        <w:jc w:val="both"/>
      </w:pPr>
      <w:r>
        <w:rPr>
          <w:rFonts w:ascii="Arial" w:hAnsi="Arial"/>
          <w:b/>
          <w:i w:val="0"/>
          <w:sz w:val="24"/>
        </w:rPr>
        <w:t>[NOMBRE DE LA PARTE ACTORA]</w:t>
      </w:r>
      <w:r>
        <w:rPr>
          <w:rFonts w:ascii="Arial" w:hAnsi="Arial"/>
          <w:b w:val="0"/>
          <w:i w:val="0"/>
          <w:sz w:val="24"/>
        </w:rPr>
        <w:t>: nombre o razón social de quien demanda.</w:t>
      </w:r>
    </w:p>
    <w:p>
      <w:pPr>
        <w:spacing w:line="360" w:lineRule="auto"/>
        <w:jc w:val="both"/>
      </w:pPr>
      <w:r>
        <w:rPr>
          <w:rFonts w:ascii="Arial" w:hAnsi="Arial"/>
          <w:b/>
          <w:i w:val="0"/>
          <w:sz w:val="24"/>
        </w:rPr>
        <w:t>[NÚMERO DE OFICIO DE LA RESOLUCIÓN IMPUGNADA]</w:t>
      </w:r>
      <w:r>
        <w:rPr>
          <w:rFonts w:ascii="Arial" w:hAnsi="Arial"/>
          <w:b w:val="0"/>
          <w:i w:val="0"/>
          <w:sz w:val="24"/>
        </w:rPr>
        <w:t>: número del oficio determinante del crédito.</w:t>
      </w:r>
    </w:p>
    <w:p>
      <w:pPr>
        <w:spacing w:line="360" w:lineRule="auto"/>
        <w:jc w:val="both"/>
      </w:pPr>
      <w:r>
        <w:rPr>
          <w:rFonts w:ascii="Arial" w:hAnsi="Arial"/>
          <w:b/>
          <w:i w:val="0"/>
          <w:sz w:val="24"/>
        </w:rPr>
        <w:t>[FECHA DE LA RESOLUCIÓN IMPUGNADA]</w:t>
      </w:r>
      <w:r>
        <w:rPr>
          <w:rFonts w:ascii="Arial" w:hAnsi="Arial"/>
          <w:b w:val="0"/>
          <w:i w:val="0"/>
          <w:sz w:val="24"/>
        </w:rPr>
        <w:t>: fecha de emisión del oficio.</w:t>
      </w:r>
    </w:p>
    <w:p>
      <w:pPr>
        <w:spacing w:line="360" w:lineRule="auto"/>
        <w:jc w:val="both"/>
      </w:pPr>
      <w:r>
        <w:rPr>
          <w:rFonts w:ascii="Arial" w:hAnsi="Arial"/>
          <w:b/>
          <w:i w:val="0"/>
          <w:sz w:val="24"/>
        </w:rPr>
        <w:t>[AUTORIDAD DEMANDADA]</w:t>
      </w:r>
      <w:r>
        <w:rPr>
          <w:rFonts w:ascii="Arial" w:hAnsi="Arial"/>
          <w:b w:val="0"/>
          <w:i w:val="0"/>
          <w:sz w:val="24"/>
        </w:rPr>
        <w:t>: autoridad emisora, con su denominación completa.</w:t>
      </w:r>
    </w:p>
    <w:p>
      <w:pPr>
        <w:spacing w:line="360" w:lineRule="auto"/>
        <w:jc w:val="both"/>
      </w:pPr>
      <w:r>
        <w:rPr>
          <w:rFonts w:ascii="Arial" w:hAnsi="Arial"/>
          <w:b/>
          <w:i w:val="0"/>
          <w:sz w:val="24"/>
        </w:rPr>
        <w:t>[FECHA EN QUE SE CONOCIÓ LA RESOLUCIÓN IMPUGNADA]</w:t>
      </w:r>
      <w:r>
        <w:rPr>
          <w:rFonts w:ascii="Arial" w:hAnsi="Arial"/>
          <w:b w:val="0"/>
          <w:i w:val="0"/>
          <w:sz w:val="24"/>
        </w:rPr>
        <w:t>: día en que realmente conociste el acto; se manifiesta bajo protesta de decir verdad.</w:t>
      </w:r>
    </w:p>
    <w:p>
      <w:pPr>
        <w:spacing w:line="360" w:lineRule="auto"/>
        <w:jc w:val="both"/>
      </w:pPr>
      <w:r>
        <w:rPr>
          <w:rFonts w:ascii="Arial" w:hAnsi="Arial"/>
          <w:b/>
          <w:i w:val="0"/>
          <w:sz w:val="24"/>
        </w:rPr>
        <w:t>[MONTO DEL CRÉDITO FISCAL]</w:t>
      </w:r>
      <w:r>
        <w:rPr>
          <w:rFonts w:ascii="Arial" w:hAnsi="Arial"/>
          <w:b w:val="0"/>
          <w:i w:val="0"/>
          <w:sz w:val="24"/>
        </w:rPr>
        <w:t>: cantidad determinada, con número y letra.</w:t>
      </w:r>
    </w:p>
    <w:p>
      <w:pPr>
        <w:spacing w:line="360" w:lineRule="auto"/>
        <w:jc w:val="both"/>
      </w:pPr>
      <w:r>
        <w:rPr>
          <w:rFonts w:ascii="Arial" w:hAnsi="Arial"/>
          <w:b/>
          <w:i w:val="0"/>
          <w:sz w:val="24"/>
        </w:rPr>
        <w:t>[FECHA DEL AVISO ELECTRÓNICO QUE INVOCA LA AUTORIDAD]</w:t>
      </w:r>
      <w:r>
        <w:rPr>
          <w:rFonts w:ascii="Arial" w:hAnsi="Arial"/>
          <w:b w:val="0"/>
          <w:i w:val="0"/>
          <w:sz w:val="24"/>
        </w:rPr>
        <w:t>: fecha del aviso de notificación pendiente, si la autoridad lo exhibe.</w:t>
      </w:r>
    </w:p>
    <w:p>
      <w:pPr>
        <w:spacing w:line="360" w:lineRule="auto"/>
        <w:jc w:val="both"/>
      </w:pPr>
      <w:r>
        <w:rPr>
          <w:rFonts w:ascii="Arial" w:hAnsi="Arial"/>
          <w:b/>
          <w:i w:val="0"/>
          <w:sz w:val="24"/>
        </w:rPr>
        <w:t>[CORREO ELECTRÓNICO REGISTRADO COMO MEDIO DE CONTACTO]</w:t>
      </w:r>
      <w:r>
        <w:rPr>
          <w:rFonts w:ascii="Arial" w:hAnsi="Arial"/>
          <w:b w:val="0"/>
          <w:i w:val="0"/>
          <w:sz w:val="24"/>
        </w:rPr>
        <w:t>: correo que registraste ante el SAT para el buzón.</w:t>
      </w:r>
    </w:p>
    <w:p>
      <w:pPr>
        <w:spacing w:line="360" w:lineRule="auto"/>
        <w:jc w:val="both"/>
      </w:pPr>
      <w:r>
        <w:rPr>
          <w:rFonts w:ascii="Arial" w:hAnsi="Arial"/>
          <w:b/>
          <w:i w:val="0"/>
          <w:sz w:val="24"/>
        </w:rPr>
        <w:t>[FECHA DE LA CONSTANCIA DE NOTIFICACIÓN ELECTRÓNICA]</w:t>
      </w:r>
      <w:r>
        <w:rPr>
          <w:rFonts w:ascii="Arial" w:hAnsi="Arial"/>
          <w:b w:val="0"/>
          <w:i w:val="0"/>
          <w:sz w:val="24"/>
        </w:rPr>
        <w:t>: fecha de la constancia que exhiba la autoridad.</w:t>
      </w:r>
    </w:p>
    <w:p>
      <w:pPr>
        <w:spacing w:line="360" w:lineRule="auto"/>
        <w:jc w:val="both"/>
      </w:pPr>
      <w:r>
        <w:rPr>
          <w:rFonts w:ascii="Arial" w:hAnsi="Arial"/>
          <w:b/>
          <w:i w:val="0"/>
          <w:sz w:val="24"/>
        </w:rPr>
        <w:t>[DEFECTO CONCRETO DE LAS CONSTANCIAS EXHIBIDAS]</w:t>
      </w:r>
      <w:r>
        <w:rPr>
          <w:rFonts w:ascii="Arial" w:hAnsi="Arial"/>
          <w:b w:val="0"/>
          <w:i w:val="0"/>
          <w:sz w:val="24"/>
        </w:rPr>
        <w:t>: el eslabón roto de tu caso: aviso sin día y hora, correo distinto al registrado, falta de sello digital o cadena original, cómputo erróneo del cuarto día o copias simples.</w:t>
      </w:r>
    </w:p>
    <w:p>
      <w:pPr>
        <w:spacing w:line="360" w:lineRule="auto"/>
        <w:jc w:val="both"/>
      </w:pPr>
      <w:r>
        <w:rPr>
          <w:rFonts w:ascii="Arial" w:hAnsi="Arial"/>
          <w:b/>
          <w:i w:val="0"/>
          <w:sz w:val="24"/>
        </w:rPr>
        <w:t>[FECHA DE PRESENTACIÓN DE LA DEMANDA]</w:t>
      </w:r>
      <w:r>
        <w:rPr>
          <w:rFonts w:ascii="Arial" w:hAnsi="Arial"/>
          <w:b w:val="0"/>
          <w:i w:val="0"/>
          <w:sz w:val="24"/>
        </w:rPr>
        <w:t>: día en que presentas o presentaste la demanda.</w:t>
      </w:r>
    </w:p>
    <w:p>
      <w:pPr>
        <w:spacing w:line="360" w:lineRule="auto"/>
        <w:jc w:val="both"/>
      </w:pPr>
      <w:r>
        <w:rPr>
          <w:rFonts w:ascii="Arial" w:hAnsi="Arial"/>
          <w:b/>
          <w:i w:val="0"/>
          <w:sz w:val="24"/>
        </w:rPr>
        <w:t>[SALA REGIONAL COMPETENTE]</w:t>
      </w:r>
      <w:r>
        <w:rPr>
          <w:rFonts w:ascii="Arial" w:hAnsi="Arial"/>
          <w:b w:val="0"/>
          <w:i w:val="0"/>
          <w:sz w:val="24"/>
        </w:rPr>
        <w:t>: denominación de la Sala Regional que conocerá del juicio.</w:t>
      </w:r>
    </w:p>
    <w:p/>
    <w:p>
      <w:pPr>
        <w:spacing w:line="360" w:lineRule="auto"/>
        <w:jc w:val="both"/>
      </w:pPr>
      <w:r>
        <w:rPr>
          <w:rFonts w:ascii="Arial" w:hAnsi="Arial"/>
          <w:b/>
          <w:sz w:val="28"/>
        </w:rPr>
        <w:t>TERCER CONCEPTO DE IMPUGNACIÓN. ILEGALIDAD DE LA NOTIFICACIÓN POR BUZÓN TRIBUTARIO DE LA RESOLUCIÓN IMPUGNADA, POR INCUMPLIMIENTO DE LOS REQUISITOS PREVISTOS EN LOS ARTÍCULOS 17-K Y 134, FRACCIÓN I, DEL CÓDIGO FISCAL DE LA FEDERACIÓN; CORRESPONDE A LA AUTORIDAD DEMANDADA EXHIBIR EL AVISO ELECTRÓNICO PREVIO Y LA CONSTANCIA DE NOTIFICACIÓN ELECTRÓNICA QUE ACREDITEN SU LEGALIDAD.</w:t>
      </w:r>
    </w:p>
    <w:p>
      <w:pPr>
        <w:spacing w:line="360" w:lineRule="auto"/>
        <w:jc w:val="both"/>
      </w:pPr>
      <w:r>
        <w:rPr>
          <w:rFonts w:ascii="Arial" w:hAnsi="Arial"/>
          <w:b w:val="0"/>
          <w:i w:val="0"/>
          <w:sz w:val="28"/>
        </w:rPr>
        <w:t xml:space="preserve">Bajo protesta de decir verdad, la parte actora, </w:t>
      </w:r>
      <w:r>
        <w:rPr>
          <w:rFonts w:ascii="Arial" w:hAnsi="Arial"/>
          <w:b/>
          <w:i w:val="0"/>
          <w:sz w:val="28"/>
        </w:rPr>
        <w:t>[NOMBRE DE LA PARTE ACTORA]</w:t>
      </w:r>
      <w:r>
        <w:rPr>
          <w:rFonts w:ascii="Arial" w:hAnsi="Arial"/>
          <w:b w:val="0"/>
          <w:i w:val="0"/>
          <w:sz w:val="28"/>
        </w:rPr>
        <w:t xml:space="preserve">, manifiesta que conoció la resolución impugnada,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hasta el día </w:t>
      </w:r>
      <w:r>
        <w:rPr>
          <w:rFonts w:ascii="Arial" w:hAnsi="Arial"/>
          <w:b/>
          <w:i w:val="0"/>
          <w:sz w:val="28"/>
        </w:rPr>
        <w:t>[FECHA EN QUE SE CONOCIÓ LA RESOLUCIÓN IMPUGNADA]</w:t>
      </w:r>
      <w:r>
        <w:rPr>
          <w:rFonts w:ascii="Arial" w:hAnsi="Arial"/>
          <w:b w:val="0"/>
          <w:i w:val="0"/>
          <w:sz w:val="28"/>
        </w:rPr>
        <w:t>, porque no le fue legalmente notificada por buzón tributario.</w:t>
      </w:r>
    </w:p>
    <w:p>
      <w:pPr>
        <w:spacing w:line="360" w:lineRule="auto"/>
        <w:jc w:val="both"/>
      </w:pPr>
      <w:r>
        <w:rPr>
          <w:rFonts w:ascii="Arial" w:hAnsi="Arial"/>
          <w:b w:val="0"/>
          <w:i w:val="0"/>
          <w:sz w:val="28"/>
        </w:rPr>
        <w:t>Por ello, con fundamento en el artículo 16, fracción I, de la Ley Federal de Procedimiento Contencioso Administrativo, se hacen valer en esta demanda los conceptos de impugnación contra la notificación y, a la par, contra la resolución misma.</w:t>
      </w:r>
    </w:p>
    <w:p>
      <w:pPr>
        <w:spacing w:line="360" w:lineRule="auto"/>
        <w:jc w:val="both"/>
      </w:pPr>
      <w:r>
        <w:rPr>
          <w:rFonts w:ascii="Arial" w:hAnsi="Arial"/>
          <w:b w:val="0"/>
          <w:i w:val="0"/>
          <w:sz w:val="28"/>
        </w:rPr>
        <w:t>En este apartado se demostrará, en primer término, que la validez de una notificación practicada por buzón tributario depende del cumplimiento puntual y verificable de cada uno de los pasos que ordenan los artículos 17-K y 134, fracción I, del Código Fiscal de la Federación; en segundo término, que la exhibición de las constancias que acrediten ese cumplimiento corresponde a la autoridad demandada al contestar la demanda; y, en tercer término, que las constancias que en su caso se exhiban no satisfacen tales requisitos, de modo que deberá estarse a la fecha de conocimiento manifestada por la parte actora.</w:t>
      </w:r>
    </w:p>
    <w:p>
      <w:pPr>
        <w:spacing w:line="360" w:lineRule="auto"/>
        <w:jc w:val="both"/>
      </w:pPr>
      <w:r>
        <w:rPr>
          <w:rFonts w:ascii="Arial" w:hAnsi="Arial"/>
          <w:b w:val="0"/>
          <w:i w:val="0"/>
          <w:sz w:val="28"/>
        </w:rPr>
        <w:t>Conviene precisar desde ahora, con lealtad procesal, el alcance exacto de este concepto. No se pretende que esa H. Sala anule la resolución impugnada por los vicios de su notificación, pues la notificación es un acto posterior e independiente de los motivos y fundamentos de aquélla.</w:t>
      </w:r>
    </w:p>
    <w:p>
      <w:pPr>
        <w:spacing w:line="360" w:lineRule="auto"/>
        <w:jc w:val="both"/>
      </w:pPr>
      <w:r>
        <w:rPr>
          <w:rFonts w:ascii="Arial" w:hAnsi="Arial"/>
          <w:b w:val="0"/>
          <w:i w:val="0"/>
          <w:sz w:val="28"/>
        </w:rPr>
        <w:t>Lo que se persigue es el efecto propio que el artículo 16, penúltimo párrafo, de la Ley Federal de Procedimiento Contencioso Administrativo asigna a este planteamiento: que se tenga a la parte actora como conocedora de la resolución en la fecha que manifestó, que se declare oportuna la presente demanda y que, despejada la oportunidad, se estudien de fondo los restantes conceptos de impugnación.</w:t>
      </w:r>
    </w:p>
    <w:p>
      <w:pPr>
        <w:spacing w:line="360" w:lineRule="auto"/>
        <w:jc w:val="both"/>
      </w:pPr>
      <w:r>
        <w:rPr>
          <w:rFonts w:ascii="Arial" w:hAnsi="Arial"/>
          <w:b/>
          <w:sz w:val="28"/>
        </w:rPr>
        <w:t>PLANTEAMIENTO.</w:t>
      </w:r>
    </w:p>
    <w:p>
      <w:pPr>
        <w:spacing w:line="360" w:lineRule="auto"/>
        <w:jc w:val="both"/>
      </w:pPr>
      <w:r>
        <w:rPr>
          <w:rFonts w:ascii="Arial" w:hAnsi="Arial"/>
          <w:b w:val="0"/>
          <w:i w:val="0"/>
          <w:sz w:val="28"/>
        </w:rPr>
        <w:t xml:space="preserve">La diligencia que se combate es la notificación electrónica que la </w:t>
      </w:r>
      <w:r>
        <w:rPr>
          <w:rFonts w:ascii="Arial" w:hAnsi="Arial"/>
          <w:b/>
          <w:i w:val="0"/>
          <w:sz w:val="28"/>
        </w:rPr>
        <w:t>[AUTORIDAD DEMANDADA]</w:t>
      </w:r>
      <w:r>
        <w:rPr>
          <w:rFonts w:ascii="Arial" w:hAnsi="Arial"/>
          <w:b w:val="0"/>
          <w:i w:val="0"/>
          <w:sz w:val="28"/>
        </w:rPr>
        <w:t xml:space="preserve"> afirma haber practicado por buzón tributario respecto de la resolución determinante del crédito fiscal por </w:t>
      </w:r>
      <w:r>
        <w:rPr>
          <w:rFonts w:ascii="Arial" w:hAnsi="Arial"/>
          <w:b/>
          <w:i w:val="0"/>
          <w:sz w:val="28"/>
        </w:rPr>
        <w:t>[MONTO DEL CRÉDITO FISCAL]</w:t>
      </w:r>
      <w:r>
        <w:rPr>
          <w:rFonts w:ascii="Arial" w:hAnsi="Arial"/>
          <w:b w:val="0"/>
          <w:i w:val="0"/>
          <w:sz w:val="28"/>
        </w:rPr>
        <w:t>.</w:t>
      </w:r>
    </w:p>
    <w:p>
      <w:pPr>
        <w:spacing w:line="360" w:lineRule="auto"/>
        <w:jc w:val="both"/>
      </w:pPr>
      <w:r>
        <w:rPr>
          <w:rFonts w:ascii="Arial" w:hAnsi="Arial"/>
          <w:b w:val="0"/>
          <w:i w:val="0"/>
          <w:sz w:val="28"/>
        </w:rPr>
        <w:t>Las normas que rigen esa diligencia son los artículos 17-K y 134, fracción I, del Código Fiscal de la Federación, en relación con la garantía de seguridad jurídica del artículo 16, primer párrafo, de la Constitución Política de los Estados Unidos Mexicanos, conforme al cual todo acto de molestia debe constar en mandamiento escrito de autoridad competente que funde y motive la causa legal del procedimiento.</w:t>
      </w:r>
    </w:p>
    <w:p>
      <w:pPr>
        <w:spacing w:line="360" w:lineRule="auto"/>
        <w:jc w:val="both"/>
      </w:pPr>
      <w:r>
        <w:rPr>
          <w:rFonts w:ascii="Arial" w:hAnsi="Arial"/>
          <w:b w:val="0"/>
          <w:i w:val="0"/>
          <w:sz w:val="28"/>
        </w:rPr>
        <w:t>El perjuicio es directo y concreto: si se convalidara una notificación electrónica que no cumplió las formalidades legales, se adelantaría artificialmente el inicio del cómputo del plazo de treinta días para promover la demanda de nulidad, plazo que rige incluso en la vía sumaria conforme al artículo 58-2, párrafo tercero, de la Ley Federal de Procedimiento Contencioso Administrativo, y se colocaría a la parte actora en riesgo de un sobreseimiento por supuesta extemporaneidad, es decir, en indefensión material frente a un crédito que nunca le fue dado a conocer en forma.</w:t>
      </w:r>
    </w:p>
    <w:p>
      <w:pPr>
        <w:spacing w:line="360" w:lineRule="auto"/>
        <w:jc w:val="both"/>
      </w:pPr>
      <w:r>
        <w:rPr>
          <w:rFonts w:ascii="Arial" w:hAnsi="Arial"/>
          <w:b w:val="0"/>
          <w:i w:val="0"/>
          <w:sz w:val="28"/>
        </w:rPr>
        <w:t>La litis de este apartado, entonces, es precisa: determinar si las constancias que exhiba la autoridad demandada acreditan, eslabón por eslabón, el procedimiento de notificación electrónica que la ley ordena, o si alguno de esos eslabones está roto, ausente o indebidamente documentado.</w:t>
      </w:r>
    </w:p>
    <w:p>
      <w:pPr>
        <w:spacing w:line="360" w:lineRule="auto"/>
        <w:jc w:val="both"/>
      </w:pPr>
      <w:r>
        <w:rPr>
          <w:rFonts w:ascii="Arial" w:hAnsi="Arial"/>
          <w:b/>
          <w:sz w:val="28"/>
        </w:rPr>
        <w:t>DESARROLLO NORMATIVO Y DOCTRINAL: LA PREMISA MAYOR.</w:t>
      </w:r>
    </w:p>
    <w:p>
      <w:pPr>
        <w:spacing w:line="360" w:lineRule="auto"/>
        <w:jc w:val="both"/>
      </w:pPr>
      <w:r>
        <w:rPr>
          <w:rFonts w:ascii="Arial" w:hAnsi="Arial"/>
          <w:b w:val="0"/>
          <w:i w:val="0"/>
          <w:sz w:val="28"/>
        </w:rPr>
        <w:t>La doctrina procesal define la notificación, en sentido genérico, como el medio de comunicación procesal a través del cual, respetando las especies y formalidades que las distintas legislaciones prevén, se da a conocer a las partes o a los terceros una resolución judicial o administrativa.</w:t>
      </w:r>
      <w:r>
        <w:rPr>
          <w:rFonts w:ascii="Arial" w:hAnsi="Arial"/>
          <w:vertAlign w:val="superscript"/>
        </w:rPr>
        <w:t>1</w:t>
      </w:r>
      <w:r>
        <w:rPr>
          <w:rFonts w:ascii="Arial" w:hAnsi="Arial"/>
          <w:b w:val="0"/>
          <w:i w:val="0"/>
          <w:sz w:val="28"/>
        </w:rPr>
        <w:t xml:space="preserve"> Su finalidad no es ritual, sino sustantiva: colocar a la persona destinataria en aptitud real de conocer el acto y defenderse de él. Cuando la notificación falla, no falla un formalismo, sino la puerta de entrada de todo el derecho de defensa, pues los plazos de impugnación corren, precisamente, a partir de ella.</w:t>
      </w:r>
    </w:p>
    <w:p>
      <w:pPr>
        <w:spacing w:line="360" w:lineRule="auto"/>
        <w:jc w:val="both"/>
      </w:pPr>
      <w:r>
        <w:rPr>
          <w:rFonts w:ascii="Arial" w:hAnsi="Arial"/>
          <w:b w:val="0"/>
          <w:i w:val="0"/>
          <w:sz w:val="28"/>
        </w:rPr>
        <w:t>Tratándose del buzón tributario, el artículo 17-K del Código Fiscal de la Federación dispone que las personas inscritas en el registro federal de contribuyentes tendrán asignado un buzón como sistema de comunicación electrónico, a través del cual la autoridad notificará sus actos en documentos digitales, y que las personas contribuyentes deberán consultarlo dentro de los tres días siguientes a aquél en que reciban un aviso electrónico enviado a los mecanismos de comunicación que hubieren registrado.</w:t>
      </w:r>
    </w:p>
    <w:p>
      <w:pPr>
        <w:spacing w:line="360" w:lineRule="auto"/>
        <w:jc w:val="both"/>
      </w:pPr>
      <w:r>
        <w:rPr>
          <w:rFonts w:ascii="Arial" w:hAnsi="Arial"/>
          <w:b w:val="0"/>
          <w:i w:val="0"/>
          <w:sz w:val="28"/>
        </w:rPr>
        <w:t>Por su parte, el artículo 134, fracción I, del propio código estructura la diligencia en pasos sucesivos y verificables: previo a la notificación, debe enviarse a la persona contribuyente un aviso mediante el mecanismo que ella designó; a partir del día siguiente al envío corre el plazo de tres días para abrir el documento digital; si se abre, la notificación se tiene por hecha cuando se genera el acuse de recibo electrónico donde consta la fecha y hora de autenticación.</w:t>
      </w:r>
    </w:p>
    <w:p>
      <w:pPr>
        <w:spacing w:line="360" w:lineRule="auto"/>
        <w:jc w:val="both"/>
      </w:pPr>
      <w:r>
        <w:rPr>
          <w:rFonts w:ascii="Arial" w:hAnsi="Arial"/>
          <w:b w:val="0"/>
          <w:i w:val="0"/>
          <w:sz w:val="28"/>
        </w:rPr>
        <w:t>Si el documento no se abre dentro de ese plazo, la notificación se tiene por realizada al cuarto día contado a partir del día siguiente al envío del aviso; además, las notificaciones deben emitirse anexando el sello digital que las autentifique y, conforme al artículo 135 del mismo ordenamiento, la notificación surte efectos al día hábil siguiente.</w:t>
      </w:r>
    </w:p>
    <w:p>
      <w:pPr>
        <w:spacing w:line="360" w:lineRule="auto"/>
        <w:jc w:val="both"/>
      </w:pPr>
      <w:r>
        <w:rPr>
          <w:rFonts w:ascii="Arial" w:hAnsi="Arial"/>
          <w:b w:val="0"/>
          <w:i w:val="0"/>
          <w:sz w:val="28"/>
        </w:rPr>
        <w:t>De ese entramado se sigue un estándar objetivo de validez. La notificación por buzón no se rige por la circunstanciación propia de las diligencias personales; su legalidad depende de que cada paso electrónico esté demostrado documentalmente.</w:t>
      </w:r>
    </w:p>
    <w:p>
      <w:pPr>
        <w:spacing w:line="360" w:lineRule="auto"/>
        <w:jc w:val="both"/>
      </w:pPr>
      <w:r>
        <w:rPr>
          <w:rFonts w:ascii="Arial" w:hAnsi="Arial"/>
          <w:b w:val="0"/>
          <w:i w:val="0"/>
          <w:sz w:val="28"/>
        </w:rPr>
        <w:t>Como lo ha reconocido la propia Sala en casos análogos, la autoridad debe exhibir, cuando menos, dos documentos: el aviso electrónico de notificación pendiente, que exprese el destinatario, el día y la hora del envío, el correo o mecanismo al que se envió, el plazo de tres días concedido, el sello digital y la cadena original que lo autentiquen; y la constancia de notificación electrónica, que haga constar que no existió autenticación con la e.firma dentro del plazo, que precise cuándo se constituyó el cuarto día y que identifique el acto notificado por número de oficio, fecha y funcionario emisor.</w:t>
      </w:r>
    </w:p>
    <w:p>
      <w:pPr>
        <w:spacing w:line="360" w:lineRule="auto"/>
        <w:jc w:val="both"/>
      </w:pPr>
      <w:r>
        <w:rPr>
          <w:rFonts w:ascii="Arial" w:hAnsi="Arial"/>
          <w:b w:val="0"/>
          <w:i w:val="0"/>
          <w:sz w:val="28"/>
        </w:rPr>
        <w:t>A esa premisa normativa se suma una premisa probatoria. Cuando la parte actora manifiesta que la resolución no le fue notificada o que lo fue ilegalmente, ella sostiene un hecho negativo; la autoridad, en cambio, afirma el hecho positivo de haber notificado. La doctrina enseña que el principio de carga de la prueba postula que quien afirma un hecho en el proceso debe probarlo, sin que baste la declaración de la persona funcionaria para tener por acreditada la verdad de su dicho.</w:t>
      </w:r>
      <w:r>
        <w:rPr>
          <w:rFonts w:ascii="Arial" w:hAnsi="Arial"/>
          <w:vertAlign w:val="superscript"/>
        </w:rPr>
        <w:t>2</w:t>
      </w:r>
    </w:p>
    <w:p>
      <w:pPr>
        <w:spacing w:line="360" w:lineRule="auto"/>
        <w:jc w:val="both"/>
      </w:pPr>
      <w:r>
        <w:rPr>
          <w:rFonts w:ascii="Arial" w:hAnsi="Arial"/>
          <w:b w:val="0"/>
          <w:i w:val="0"/>
          <w:sz w:val="28"/>
        </w:rPr>
        <w:t>Además, como las constancias obran únicamente en poder de la autoridad, su exhibición al contestar la demanda no es una simple carga en interés propio, sino una auténtica obligación procesal, pues sólo ella está en posibilidad material de aportarlas.</w:t>
      </w:r>
    </w:p>
    <w:p>
      <w:pPr>
        <w:spacing w:line="360" w:lineRule="auto"/>
        <w:jc w:val="both"/>
      </w:pPr>
      <w:r>
        <w:rPr>
          <w:rFonts w:ascii="Arial" w:hAnsi="Arial"/>
          <w:b w:val="0"/>
          <w:i w:val="0"/>
          <w:sz w:val="28"/>
        </w:rPr>
        <w:t xml:space="preserve">La doctrina también distingue, con provecho para este planteamiento, entre la carga de la argumentación y la carga de la prueba, bajo la directiva clásica de que </w:t>
      </w:r>
      <w:r>
        <w:rPr>
          <w:rFonts w:ascii="Arial" w:hAnsi="Arial"/>
          <w:b w:val="0"/>
          <w:i/>
          <w:sz w:val="28"/>
        </w:rPr>
        <w:t>«quien afirma está obligado a probar, no quien niega»</w:t>
      </w:r>
      <w:r>
        <w:rPr>
          <w:rFonts w:ascii="Arial" w:hAnsi="Arial"/>
          <w:b w:val="0"/>
          <w:i w:val="0"/>
          <w:sz w:val="28"/>
        </w:rPr>
        <w:t>.</w:t>
      </w:r>
      <w:r>
        <w:rPr>
          <w:rFonts w:ascii="Arial" w:hAnsi="Arial"/>
          <w:vertAlign w:val="superscript"/>
        </w:rPr>
        <w:t>3</w:t>
      </w:r>
      <w:r>
        <w:rPr>
          <w:rFonts w:ascii="Arial" w:hAnsi="Arial"/>
          <w:b w:val="0"/>
          <w:i w:val="0"/>
          <w:sz w:val="28"/>
        </w:rPr>
        <w:t xml:space="preserve"> A la parte actora corresponde argumentar con precisión cuál eslabón de la diligencia está roto; a la autoridad demandada corresponde probar, con documentos auténticos, que la diligencia se practicó conforme a la ley. Esa distribución no es una cortesía procesal, sino la consecuencia de que nadie puede ser obligado a probar lo que no hizo la contraparte.</w:t>
      </w:r>
    </w:p>
    <w:p>
      <w:pPr>
        <w:spacing w:line="360" w:lineRule="auto"/>
        <w:jc w:val="both"/>
      </w:pPr>
      <w:r>
        <w:rPr>
          <w:rFonts w:ascii="Arial" w:hAnsi="Arial"/>
          <w:b w:val="0"/>
          <w:i w:val="0"/>
          <w:sz w:val="28"/>
        </w:rPr>
        <w:t>Finalmente, en cuanto a la valoración, las constancias de notificación electrónica son documentos digitales cuya fuerza probatoria se aprecia conforme al artículo 46, fracción I, de la Ley Federal de Procedimiento Contencioso Administrativo y al artículo 210-A del Código Federal de Procedimientos Civiles, de aplicación supletoria, que atiende a la fiabilidad del método en que la información fue generada, comunicada, recibida o archivada.</w:t>
      </w:r>
    </w:p>
    <w:p>
      <w:pPr>
        <w:spacing w:line="360" w:lineRule="auto"/>
        <w:jc w:val="both"/>
      </w:pPr>
      <w:r>
        <w:rPr>
          <w:rFonts w:ascii="Arial" w:hAnsi="Arial"/>
          <w:b w:val="0"/>
          <w:i w:val="0"/>
          <w:sz w:val="28"/>
        </w:rPr>
        <w:t>El sello digital y la cadena original no son adornos: son justamente los elementos técnicos que permiten atribuir el documento a la autoridad emisora y descartar su alteración. Sin ellos, el documento es una impresión cualquiera, sin autenticidad demostrada.</w:t>
      </w:r>
    </w:p>
    <w:p>
      <w:pPr>
        <w:spacing w:line="360" w:lineRule="auto"/>
        <w:jc w:val="both"/>
      </w:pPr>
      <w:r>
        <w:rPr>
          <w:rFonts w:ascii="Arial" w:hAnsi="Arial"/>
          <w:b/>
          <w:sz w:val="28"/>
        </w:rPr>
        <w:t>APLICACIÓN AL CASO CONCRETO Y REFUTACIÓN.</w:t>
      </w:r>
    </w:p>
    <w:p>
      <w:pPr>
        <w:spacing w:line="360" w:lineRule="auto"/>
        <w:jc w:val="both"/>
      </w:pPr>
      <w:r>
        <w:rPr>
          <w:rFonts w:ascii="Arial" w:hAnsi="Arial"/>
          <w:b w:val="0"/>
          <w:i w:val="0"/>
          <w:sz w:val="28"/>
        </w:rPr>
        <w:t xml:space="preserve">En el caso, la autoridad demandada sostendrá que notificó la resolución impugnada por buzón tributario, apoyándose en un aviso electrónico de fecha </w:t>
      </w:r>
      <w:r>
        <w:rPr>
          <w:rFonts w:ascii="Arial" w:hAnsi="Arial"/>
          <w:b/>
          <w:i w:val="0"/>
          <w:sz w:val="28"/>
        </w:rPr>
        <w:t>[FECHA DEL AVISO ELECTRÓNICO QUE INVOCA LA AUTORIDAD]</w:t>
      </w:r>
      <w:r>
        <w:rPr>
          <w:rFonts w:ascii="Arial" w:hAnsi="Arial"/>
          <w:b w:val="0"/>
          <w:i w:val="0"/>
          <w:sz w:val="28"/>
        </w:rPr>
        <w:t xml:space="preserve">, supuestamente enviado al correo </w:t>
      </w:r>
      <w:r>
        <w:rPr>
          <w:rFonts w:ascii="Arial" w:hAnsi="Arial"/>
          <w:b/>
          <w:i w:val="0"/>
          <w:sz w:val="28"/>
        </w:rPr>
        <w:t>[CORREO ELECTRÓNICO REGISTRADO COMO MEDIO DE CONTACTO]</w:t>
      </w:r>
      <w:r>
        <w:rPr>
          <w:rFonts w:ascii="Arial" w:hAnsi="Arial"/>
          <w:b w:val="0"/>
          <w:i w:val="0"/>
          <w:sz w:val="28"/>
        </w:rPr>
        <w:t xml:space="preserve">, y en una constancia de notificación electrónica de fecha </w:t>
      </w:r>
      <w:r>
        <w:rPr>
          <w:rFonts w:ascii="Arial" w:hAnsi="Arial"/>
          <w:b/>
          <w:i w:val="0"/>
          <w:sz w:val="28"/>
        </w:rPr>
        <w:t>[FECHA DE LA CONSTANCIA DE NOTIFICACIÓN ELECTRÓNICA]</w:t>
      </w:r>
      <w:r>
        <w:rPr>
          <w:rFonts w:ascii="Arial" w:hAnsi="Arial"/>
          <w:b w:val="0"/>
          <w:i w:val="0"/>
          <w:sz w:val="28"/>
        </w:rPr>
        <w:t xml:space="preserve">. Sin embargo, esas documentales no acreditan la legalidad de la diligencia, porque presentan el siguiente defecto: </w:t>
      </w:r>
      <w:r>
        <w:rPr>
          <w:rFonts w:ascii="Arial" w:hAnsi="Arial"/>
          <w:b/>
          <w:i w:val="0"/>
          <w:sz w:val="28"/>
        </w:rPr>
        <w:t>[DEFECTO CONCRETO DE LAS CONSTANCIAS EXHIBIDAS]</w:t>
      </w:r>
      <w:r>
        <w:rPr>
          <w:rFonts w:ascii="Arial" w:hAnsi="Arial"/>
          <w:b w:val="0"/>
          <w:i w:val="0"/>
          <w:sz w:val="28"/>
        </w:rPr>
        <w:t>.</w:t>
      </w:r>
    </w:p>
    <w:p>
      <w:pPr>
        <w:spacing w:line="360" w:lineRule="auto"/>
        <w:jc w:val="both"/>
      </w:pPr>
      <w:r>
        <w:rPr>
          <w:rFonts w:ascii="Arial" w:hAnsi="Arial"/>
          <w:b w:val="0"/>
          <w:i w:val="0"/>
          <w:sz w:val="28"/>
        </w:rPr>
        <w:t>La persona postulante deberá precisar aquí, con señalamiento de fojas, el eslabón roto que corresponda: que el aviso no expresa el día y la hora del envío, o que el correo al que se dice enviado no coincide con el mecanismo de contacto efectivamente registrado y validado ante la autoridad; o que el aviso o la constancia carecen de sello digital o de cadena original que los autentiquen.</w:t>
      </w:r>
    </w:p>
    <w:p>
      <w:pPr>
        <w:spacing w:line="360" w:lineRule="auto"/>
        <w:jc w:val="both"/>
      </w:pPr>
      <w:r>
        <w:rPr>
          <w:rFonts w:ascii="Arial" w:hAnsi="Arial"/>
          <w:b w:val="0"/>
          <w:i w:val="0"/>
          <w:sz w:val="28"/>
        </w:rPr>
        <w:t>También puede ocurrir que el cómputo del cuarto día esté mal realizado por comprender días inhábiles; que la constancia no asiente la falta de autenticación con la e.firma dentro del plazo de tres días; o que sólo se hayan exhibido reimpresiones o copias simples sin elemento alguno de autenticidad.</w:t>
      </w:r>
    </w:p>
    <w:p>
      <w:pPr>
        <w:spacing w:line="360" w:lineRule="auto"/>
        <w:jc w:val="both"/>
      </w:pPr>
      <w:r>
        <w:rPr>
          <w:rFonts w:ascii="Arial" w:hAnsi="Arial"/>
          <w:b w:val="0"/>
          <w:i w:val="0"/>
          <w:sz w:val="28"/>
        </w:rPr>
        <w:t>Frente a ese señalamiento, la defensa habitual de la autoridad consiste en sostener que la notificación es válida porque así lo asientan sus propias constancias. Ese razonamiento incurre en la falacia de petición de principio, que consiste en pretender demostrar una afirmación tomando como premisa aquello mismo que está en disputa, esto es, en no demostrar.</w:t>
      </w:r>
      <w:r>
        <w:rPr>
          <w:rFonts w:ascii="Arial" w:hAnsi="Arial"/>
          <w:vertAlign w:val="superscript"/>
        </w:rPr>
        <w:t>4</w:t>
      </w:r>
    </w:p>
    <w:p>
      <w:pPr>
        <w:spacing w:line="360" w:lineRule="auto"/>
        <w:jc w:val="both"/>
      </w:pPr>
      <w:r>
        <w:rPr>
          <w:rFonts w:ascii="Arial" w:hAnsi="Arial"/>
          <w:b w:val="0"/>
          <w:i w:val="0"/>
          <w:sz w:val="28"/>
        </w:rPr>
        <w:t>La estructura del error es visible: lo controvertido es si el aviso se envió real y oportunamente al mecanismo registrado; responder que sí porque el documento elaborado por la propia autoridad lo dice, es dar por probado el envío con la sola afirmación de quien tenía que probarlo.</w:t>
      </w:r>
    </w:p>
    <w:p>
      <w:pPr>
        <w:spacing w:line="360" w:lineRule="auto"/>
        <w:jc w:val="both"/>
      </w:pPr>
      <w:r>
        <w:rPr>
          <w:rFonts w:ascii="Arial" w:hAnsi="Arial"/>
          <w:b w:val="0"/>
          <w:i w:val="0"/>
          <w:sz w:val="28"/>
        </w:rPr>
        <w:t>La variante agravada de ese vicio es el círculo vicioso o dialelo, que se configura cuando se intenta probar una primera proposición en función de una segunda que, a su vez, presupone probada la primera, regresando siempre al punto de partida.</w:t>
      </w:r>
      <w:r>
        <w:rPr>
          <w:rFonts w:ascii="Arial" w:hAnsi="Arial"/>
          <w:vertAlign w:val="superscript"/>
        </w:rPr>
        <w:t>5</w:t>
      </w:r>
      <w:r>
        <w:rPr>
          <w:rFonts w:ascii="Arial" w:hAnsi="Arial"/>
          <w:b w:val="0"/>
          <w:i w:val="0"/>
          <w:sz w:val="28"/>
        </w:rPr>
        <w:t xml:space="preserve"> Eso ocurre cuando se sostiene que la constancia es fiable porque documenta la notificación y que la notificación existió porque lo dice la constancia.</w:t>
      </w:r>
    </w:p>
    <w:p>
      <w:pPr>
        <w:spacing w:line="360" w:lineRule="auto"/>
        <w:jc w:val="both"/>
      </w:pPr>
      <w:r>
        <w:rPr>
          <w:rFonts w:ascii="Arial" w:hAnsi="Arial"/>
          <w:b w:val="0"/>
          <w:i w:val="0"/>
          <w:sz w:val="28"/>
        </w:rPr>
        <w:t>El razonamiento correcto es el inverso: la fiabilidad debe venir de elementos externos y verificables, como el sello digital, la cadena original, la coincidencia exacta del correo con el registrado y la congruencia del cómputo de los plazos; sólo acreditados esos elementos puede el documento probar la diligencia.</w:t>
      </w:r>
    </w:p>
    <w:p>
      <w:pPr>
        <w:spacing w:line="360" w:lineRule="auto"/>
        <w:jc w:val="both"/>
      </w:pPr>
      <w:r>
        <w:rPr>
          <w:rFonts w:ascii="Arial" w:hAnsi="Arial"/>
          <w:b w:val="0"/>
          <w:i w:val="0"/>
          <w:sz w:val="28"/>
        </w:rPr>
        <w:t>Se anticipa, asimismo, el contraargumento de que los vicios de la notificación, por ser actos posteriores a la resolución, no pueden provocar su nulidad. La parte actora no discute esa premisa; por eso mismo, este concepto no formula esa pretensión. Reformular el planteamiento de la actora como si pidiera la nulidad por vicios de notificación, para luego desestimarlo como inoperante, equivaldría a refutar una postura que no se sostuvo, es decir, un hombre de paja.</w:t>
      </w:r>
    </w:p>
    <w:p>
      <w:pPr>
        <w:spacing w:line="360" w:lineRule="auto"/>
        <w:jc w:val="both"/>
      </w:pPr>
      <w:r>
        <w:rPr>
          <w:rFonts w:ascii="Arial" w:hAnsi="Arial"/>
          <w:b w:val="0"/>
          <w:i w:val="0"/>
          <w:sz w:val="28"/>
        </w:rPr>
        <w:t>La pretensión real, se insiste, es la que la propia ley asigna: fijar la fecha de conocimiento de la resolución en la manifestada bajo protesta y, con ello, la oportunidad de esta demanda.</w:t>
      </w:r>
    </w:p>
    <w:p>
      <w:pPr>
        <w:spacing w:line="360" w:lineRule="auto"/>
        <w:jc w:val="both"/>
      </w:pPr>
      <w:r>
        <w:rPr>
          <w:rFonts w:ascii="Arial" w:hAnsi="Arial"/>
          <w:b w:val="0"/>
          <w:i w:val="0"/>
          <w:sz w:val="28"/>
        </w:rPr>
        <w:t xml:space="preserve">La trascendencia práctica es evidente. Si esa H. Sala tiene a la parte actora como sabedora de la resolución impugnada el </w:t>
      </w:r>
      <w:r>
        <w:rPr>
          <w:rFonts w:ascii="Arial" w:hAnsi="Arial"/>
          <w:b/>
          <w:i w:val="0"/>
          <w:sz w:val="28"/>
        </w:rPr>
        <w:t>[FECHA EN QUE SE CONOCIÓ LA RESOLUCIÓN IMPUGNADA]</w:t>
      </w:r>
      <w:r>
        <w:rPr>
          <w:rFonts w:ascii="Arial" w:hAnsi="Arial"/>
          <w:b w:val="0"/>
          <w:i w:val="0"/>
          <w:sz w:val="28"/>
        </w:rPr>
        <w:t xml:space="preserve">, la demanda presentada el </w:t>
      </w:r>
      <w:r>
        <w:rPr>
          <w:rFonts w:ascii="Arial" w:hAnsi="Arial"/>
          <w:b/>
          <w:i w:val="0"/>
          <w:sz w:val="28"/>
        </w:rPr>
        <w:t>[FECHA DE PRESENTACIÓN DE LA DEMANDA]</w:t>
      </w:r>
      <w:r>
        <w:rPr>
          <w:rFonts w:ascii="Arial" w:hAnsi="Arial"/>
          <w:b w:val="0"/>
          <w:i w:val="0"/>
          <w:sz w:val="28"/>
        </w:rPr>
        <w:t xml:space="preserve"> resulta oportuna dentro del plazo legal de treinta días. Y si la autoridad demandada exhibe las constancias hasta su contestación, la parte actora podrá controvertirlas y ampliar su demanda en los términos que la propia ley permite, sin que pueda resentir perjuicio por defectos de documentación que sólo la autoridad estaba en aptitud de generar y conservar.</w:t>
      </w:r>
    </w:p>
    <w:p>
      <w:pPr>
        <w:spacing w:line="360" w:lineRule="auto"/>
        <w:jc w:val="both"/>
      </w:pPr>
      <w:r>
        <w:rPr>
          <w:rFonts w:ascii="Arial" w:hAnsi="Arial"/>
          <w:b/>
          <w:sz w:val="28"/>
        </w:rPr>
        <w:t>CONCLUSIÓN Y PETICIÓN PARCIAL.</w:t>
      </w:r>
    </w:p>
    <w:p>
      <w:pPr>
        <w:spacing w:line="360" w:lineRule="auto"/>
        <w:jc w:val="both"/>
      </w:pPr>
      <w:r>
        <w:rPr>
          <w:rFonts w:ascii="Arial" w:hAnsi="Arial"/>
          <w:b w:val="0"/>
          <w:i w:val="0"/>
          <w:sz w:val="28"/>
        </w:rPr>
        <w:t>De lo expuesto se concluye el silogismo de este concepto: la premisa mayor establece que la notificación por buzón tributario sólo es válida si la autoridad acredita documentalmente el aviso previo enviado al mecanismo registrado, el cómputo legal de los tres días, la actualización del cuarto día y la autenticidad de las constancias mediante sello digital y cadena original.</w:t>
      </w:r>
    </w:p>
    <w:p>
      <w:pPr>
        <w:spacing w:line="360" w:lineRule="auto"/>
        <w:jc w:val="both"/>
      </w:pPr>
      <w:r>
        <w:rPr>
          <w:rFonts w:ascii="Arial" w:hAnsi="Arial"/>
          <w:b w:val="0"/>
          <w:i w:val="0"/>
          <w:sz w:val="28"/>
        </w:rPr>
        <w:t xml:space="preserve">La premisa menor demuestra que, en el caso, las constancias relativas al oficio </w:t>
      </w:r>
      <w:r>
        <w:rPr>
          <w:rFonts w:ascii="Arial" w:hAnsi="Arial"/>
          <w:b/>
          <w:i w:val="0"/>
          <w:sz w:val="28"/>
        </w:rPr>
        <w:t>[NÚMERO DE OFICIO DE LA RESOLUCIÓN IMPUGNADA]</w:t>
      </w:r>
      <w:r>
        <w:rPr>
          <w:rFonts w:ascii="Arial" w:hAnsi="Arial"/>
          <w:b w:val="0"/>
          <w:i w:val="0"/>
          <w:sz w:val="28"/>
        </w:rPr>
        <w:t xml:space="preserve"> no satisfacen ese estándar por el defecto precisado; la conclusión es que la notificación no puede surtir efecto alguno frente a la parte actora.</w:t>
      </w:r>
    </w:p>
    <w:p>
      <w:pPr>
        <w:spacing w:line="360" w:lineRule="auto"/>
        <w:jc w:val="both"/>
      </w:pPr>
      <w:r>
        <w:rPr>
          <w:rFonts w:ascii="Arial" w:hAnsi="Arial"/>
          <w:b w:val="0"/>
          <w:i w:val="0"/>
          <w:sz w:val="28"/>
        </w:rPr>
        <w:t xml:space="preserve">Por lo anterior, atentamente se solicita a la </w:t>
      </w:r>
      <w:r>
        <w:rPr>
          <w:rFonts w:ascii="Arial" w:hAnsi="Arial"/>
          <w:b/>
          <w:i w:val="0"/>
          <w:sz w:val="28"/>
        </w:rPr>
        <w:t>[SALA REGIONAL COMPETENTE]</w:t>
      </w:r>
      <w:r>
        <w:rPr>
          <w:rFonts w:ascii="Arial" w:hAnsi="Arial"/>
          <w:b w:val="0"/>
          <w:i w:val="0"/>
          <w:sz w:val="28"/>
        </w:rPr>
        <w:t xml:space="preserve"> tener por hechas las manifestaciones sobre la fecha de conocimiento de la resolución impugnada; requerir y analizar las constancias de notificación que exhiba la autoridad demandada, valorándolas conforme a los artículos 46, fracción I, de la Ley Federal de Procedimiento Contencioso Administrativo y 210-A del Código Federal de Procedimientos Civiles.</w:t>
      </w:r>
    </w:p>
    <w:p>
      <w:pPr>
        <w:spacing w:line="360" w:lineRule="auto"/>
        <w:jc w:val="both"/>
      </w:pPr>
      <w:r>
        <w:rPr>
          <w:rFonts w:ascii="Arial" w:hAnsi="Arial"/>
          <w:b w:val="0"/>
          <w:i w:val="0"/>
          <w:sz w:val="28"/>
        </w:rPr>
        <w:t>Asimismo, se solicita declarar que la notificación electrónica no se practicó conforme a los artículos 17-K y 134, fracción I, del Código Fiscal de la Federación; tener a la parte actora como conocedora de la resolución en la fecha manifestada; y, en consecuencia, tener por oportuna la presente demanda y proceder al estudio de fondo de los restantes conceptos de impugnación.</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228.</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89.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77.</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