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ANTE EL TFJA. BENEFICIO FISCAL NEGADO POR REQUISITO FORMAL EXTEMPORÁNEO Y POR UN HECHO NO PROBADO DE UN TERCERO</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cópialo en el apartado de conceptos de impugnación de tu demanda de nulidad y sustituye los campos entre corchetes. Antes de redactar, localiza en el expediente administrativo la constancia de recepción del documento que la autoridad tuvo por no presentado y la parte de la resolución donde afirma la conducta del tercero: esos dos elementos son la columna vertebral del concepto. Ofrece el expediente administrativo como prueba y pide su exhibición si no lo tienes completo.</w:t>
      </w:r>
    </w:p>
    <w:p>
      <w:pPr>
        <w:spacing w:line="360" w:lineRule="auto"/>
        <w:jc w:val="both"/>
      </w:pPr>
      <w:r>
        <w:rPr>
          <w:rFonts w:ascii="Arial" w:hAnsi="Arial"/>
          <w:b w:val="0"/>
          <w:i w:val="0"/>
          <w:sz w:val="24"/>
        </w:rPr>
        <w:t>Recuerda que la demanda de nulidad se presenta dentro de los treinta días que señala el artículo 58-2, párrafo tercero, de la Ley Federal de Procedimiento Contencioso Administrativo; si optas por el juicio de resolución exclusiva de fondo, verifica además los requisitos y las condiciones propias de esa vía antes de presentarla.</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w:t>
      </w:r>
      <w:r>
        <w:rPr>
          <w:rFonts w:ascii="Arial" w:hAnsi="Arial"/>
          <w:b w:val="0"/>
          <w:i w:val="0"/>
          <w:sz w:val="24"/>
        </w:rPr>
        <w:t>: el ordinal que corresponda al concepto dentro de tu demanda, por ejemplo PRIMER o SEGUNDO.</w:t>
      </w:r>
    </w:p>
    <w:p>
      <w:pPr>
        <w:spacing w:line="360" w:lineRule="auto"/>
        <w:jc w:val="both"/>
      </w:pPr>
      <w:r>
        <w:rPr>
          <w:rFonts w:ascii="Arial" w:hAnsi="Arial"/>
          <w:b/>
          <w:i w:val="0"/>
          <w:sz w:val="24"/>
        </w:rPr>
        <w:t>[BENEFICIO O RÉGIMEN FISCAL NEGADO]</w:t>
      </w:r>
      <w:r>
        <w:rPr>
          <w:rFonts w:ascii="Arial" w:hAnsi="Arial"/>
          <w:b w:val="0"/>
          <w:i w:val="0"/>
          <w:sz w:val="24"/>
        </w:rPr>
        <w:t>: el beneficio, régimen, deducción o autorización que la autoridad desconoció.</w:t>
      </w:r>
    </w:p>
    <w:p>
      <w:pPr>
        <w:spacing w:line="360" w:lineRule="auto"/>
        <w:jc w:val="both"/>
      </w:pPr>
      <w:r>
        <w:rPr>
          <w:rFonts w:ascii="Arial" w:hAnsi="Arial"/>
          <w:b/>
          <w:i w:val="0"/>
          <w:sz w:val="24"/>
        </w:rPr>
        <w:t>[OFICIO Y FECHA DE LA RESOLUCIÓN IMPUGNADA]</w:t>
      </w:r>
      <w:r>
        <w:rPr>
          <w:rFonts w:ascii="Arial" w:hAnsi="Arial"/>
          <w:b w:val="0"/>
          <w:i w:val="0"/>
          <w:sz w:val="24"/>
        </w:rPr>
        <w:t>: número de oficio y fecha exactos, tal como aparecen en la resolución, sin abreviar.</w:t>
      </w:r>
    </w:p>
    <w:p>
      <w:pPr>
        <w:spacing w:line="360" w:lineRule="auto"/>
        <w:jc w:val="both"/>
      </w:pPr>
      <w:r>
        <w:rPr>
          <w:rFonts w:ascii="Arial" w:hAnsi="Arial"/>
          <w:b/>
          <w:i w:val="0"/>
          <w:sz w:val="24"/>
        </w:rPr>
        <w:t>[AUTORIDAD DEMANDADA]</w:t>
      </w:r>
      <w:r>
        <w:rPr>
          <w:rFonts w:ascii="Arial" w:hAnsi="Arial"/>
          <w:b w:val="0"/>
          <w:i w:val="0"/>
          <w:sz w:val="24"/>
        </w:rPr>
        <w:t>: la denominación completa de la autoridad emisora, con su adscripción.</w:t>
      </w:r>
    </w:p>
    <w:p>
      <w:pPr>
        <w:spacing w:line="360" w:lineRule="auto"/>
        <w:jc w:val="both"/>
      </w:pPr>
      <w:r>
        <w:rPr>
          <w:rFonts w:ascii="Arial" w:hAnsi="Arial"/>
          <w:b/>
          <w:i w:val="0"/>
          <w:sz w:val="24"/>
        </w:rPr>
        <w:t>[FECHA DE NOTIFICACIÓN DE LA RESOLUCIÓN IMPUGNADA]</w:t>
      </w:r>
      <w:r>
        <w:rPr>
          <w:rFonts w:ascii="Arial" w:hAnsi="Arial"/>
          <w:b w:val="0"/>
          <w:i w:val="0"/>
          <w:sz w:val="24"/>
        </w:rPr>
        <w:t>: la fecha en que surtió efectos la notificación, para la oportunidad de la demanda.</w:t>
      </w:r>
    </w:p>
    <w:p>
      <w:pPr>
        <w:spacing w:line="360" w:lineRule="auto"/>
        <w:jc w:val="both"/>
      </w:pPr>
      <w:r>
        <w:rPr>
          <w:rFonts w:ascii="Arial" w:hAnsi="Arial"/>
          <w:b/>
          <w:i w:val="0"/>
          <w:sz w:val="24"/>
        </w:rPr>
        <w:t>[CONTRIBUCIÓN Y EJERCICIO REVISADO]</w:t>
      </w:r>
      <w:r>
        <w:rPr>
          <w:rFonts w:ascii="Arial" w:hAnsi="Arial"/>
          <w:b w:val="0"/>
          <w:i w:val="0"/>
          <w:sz w:val="24"/>
        </w:rPr>
        <w:t>: por ejemplo, impuesto sobre la renta del ejercicio de que se trate.</w:t>
      </w:r>
    </w:p>
    <w:p>
      <w:pPr>
        <w:spacing w:line="360" w:lineRule="auto"/>
        <w:jc w:val="both"/>
      </w:pPr>
      <w:r>
        <w:rPr>
          <w:rFonts w:ascii="Arial" w:hAnsi="Arial"/>
          <w:b/>
          <w:i w:val="0"/>
          <w:sz w:val="24"/>
        </w:rPr>
        <w:t>[DOCUMENTO EXHIBIDO FUERA DE PLAZO]</w:t>
      </w:r>
      <w:r>
        <w:rPr>
          <w:rFonts w:ascii="Arial" w:hAnsi="Arial"/>
          <w:b w:val="0"/>
          <w:i w:val="0"/>
          <w:sz w:val="24"/>
        </w:rPr>
        <w:t>: el dictamen, aviso, informe o declaración que la autoridad tuvo por no presentado.</w:t>
      </w:r>
    </w:p>
    <w:p>
      <w:pPr>
        <w:spacing w:line="360" w:lineRule="auto"/>
        <w:jc w:val="both"/>
      </w:pPr>
      <w:r>
        <w:rPr>
          <w:rFonts w:ascii="Arial" w:hAnsi="Arial"/>
          <w:b/>
          <w:i w:val="0"/>
          <w:sz w:val="24"/>
        </w:rPr>
        <w:t>[FECHA DE PRESENTACIÓN DEL DOCUMENTO]</w:t>
      </w:r>
      <w:r>
        <w:rPr>
          <w:rFonts w:ascii="Arial" w:hAnsi="Arial"/>
          <w:b w:val="0"/>
          <w:i w:val="0"/>
          <w:sz w:val="24"/>
        </w:rPr>
        <w:t>: la que conste en el sello o acuse de recepción.</w:t>
      </w:r>
    </w:p>
    <w:p>
      <w:pPr>
        <w:spacing w:line="360" w:lineRule="auto"/>
        <w:jc w:val="both"/>
      </w:pPr>
      <w:r>
        <w:rPr>
          <w:rFonts w:ascii="Arial" w:hAnsi="Arial"/>
          <w:b/>
          <w:i w:val="0"/>
          <w:sz w:val="24"/>
        </w:rPr>
        <w:t>[PRECEPTO O REGLA QUE FIJA EL PLAZO]</w:t>
      </w:r>
      <w:r>
        <w:rPr>
          <w:rFonts w:ascii="Arial" w:hAnsi="Arial"/>
          <w:b w:val="0"/>
          <w:i w:val="0"/>
          <w:sz w:val="24"/>
        </w:rPr>
        <w:t>: la disposición que establece el plazo, citada con su ejercicio y publicación.</w:t>
      </w:r>
    </w:p>
    <w:p>
      <w:pPr>
        <w:spacing w:line="360" w:lineRule="auto"/>
        <w:jc w:val="both"/>
      </w:pPr>
      <w:r>
        <w:rPr>
          <w:rFonts w:ascii="Arial" w:hAnsi="Arial"/>
          <w:b/>
          <w:i w:val="0"/>
          <w:sz w:val="24"/>
        </w:rPr>
        <w:t>[TERCERO INVOLUCRADO]</w:t>
      </w:r>
      <w:r>
        <w:rPr>
          <w:rFonts w:ascii="Arial" w:hAnsi="Arial"/>
          <w:b w:val="0"/>
          <w:i w:val="0"/>
          <w:sz w:val="24"/>
        </w:rPr>
        <w:t>: la persona moral o física distinta del contribuyente revisado a quien se atribuye la conducta.</w:t>
      </w:r>
    </w:p>
    <w:p>
      <w:pPr>
        <w:spacing w:line="360" w:lineRule="auto"/>
        <w:jc w:val="both"/>
      </w:pPr>
      <w:r>
        <w:rPr>
          <w:rFonts w:ascii="Arial" w:hAnsi="Arial"/>
          <w:b/>
          <w:i w:val="0"/>
          <w:sz w:val="24"/>
        </w:rPr>
        <w:t>[OBLIGACIÓN ATRIBUIDA AL TERCERO]</w:t>
      </w:r>
      <w:r>
        <w:rPr>
          <w:rFonts w:ascii="Arial" w:hAnsi="Arial"/>
          <w:b w:val="0"/>
          <w:i w:val="0"/>
          <w:sz w:val="24"/>
        </w:rPr>
        <w:t>: la conducta que la autoridad afirma que ese tercero omitió.</w:t>
      </w:r>
    </w:p>
    <w:p>
      <w:pPr>
        <w:spacing w:line="360" w:lineRule="auto"/>
        <w:jc w:val="both"/>
      </w:pPr>
      <w:r>
        <w:rPr>
          <w:rFonts w:ascii="Arial" w:hAnsi="Arial"/>
          <w:b/>
          <w:i w:val="0"/>
          <w:sz w:val="24"/>
        </w:rPr>
        <w:t>[TRANSCRIPCIÓN DEL RAZONAMIENTO DE LA AUTORIDAD]</w:t>
      </w:r>
      <w:r>
        <w:rPr>
          <w:rFonts w:ascii="Arial" w:hAnsi="Arial"/>
          <w:b w:val="0"/>
          <w:i w:val="0"/>
          <w:sz w:val="24"/>
        </w:rPr>
        <w:t>: el párrafo literal de la resolución donde se hace el salto del retraso al incumplimiento.</w:t>
      </w:r>
    </w:p>
    <w:p>
      <w:pPr>
        <w:spacing w:line="360" w:lineRule="auto"/>
        <w:jc w:val="both"/>
      </w:pPr>
      <w:r>
        <w:rPr>
          <w:rFonts w:ascii="Arial" w:hAnsi="Arial"/>
          <w:b/>
          <w:i w:val="0"/>
          <w:sz w:val="24"/>
        </w:rPr>
        <w:t>[PRUEBAS OFRECIDAS]</w:t>
      </w:r>
      <w:r>
        <w:rPr>
          <w:rFonts w:ascii="Arial" w:hAnsi="Arial"/>
          <w:b w:val="0"/>
          <w:i w:val="0"/>
          <w:sz w:val="24"/>
        </w:rPr>
        <w:t>: la relación de tus pruebas, empezando por el expediente administrativo y el acuse de recepción.</w:t>
      </w:r>
    </w:p>
    <w:p/>
    <w:p>
      <w:pPr>
        <w:spacing w:line="360" w:lineRule="auto"/>
        <w:jc w:val="both"/>
      </w:pPr>
      <w:r>
        <w:rPr>
          <w:rFonts w:ascii="Arial" w:hAnsi="Arial"/>
          <w:b/>
          <w:sz w:val="28"/>
        </w:rPr>
        <w:t>[NÚMERO ORDINAL] CONCEPTO DE IMPUGNACIÓN. Es ilegal la resolución que desconoce [BENEFICIO O RÉGIMEN FISCAL NEGADO] con apoyo en dos supuestos incumplimientos que la autoridad nunca acreditó: por una parte, atribuye efectos excesivos a la presentación extemporánea de [DOCUMENTO EXHIBIDO FUERA DE PLAZO], que sí obraba en su poder y cuyo contenido no analizó, sin citar precepto alguno que sancione la extemporaneidad con tenerlo por no presentado; por otra, da por cierto un hecho ajeno, atribuido a [TERCERO INVOLUCRADO], sin prueba de ninguna clase, invirtiendo la carga que la ley impone a la propia autoridad.</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En este apartado se demostrará que la resolución contenida en </w:t>
      </w:r>
      <w:r>
        <w:rPr>
          <w:rFonts w:ascii="Arial" w:hAnsi="Arial"/>
          <w:b/>
          <w:i w:val="0"/>
          <w:sz w:val="28"/>
        </w:rPr>
        <w:t>[OFICIO Y 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es ilegal porque desconoció </w:t>
      </w:r>
      <w:r>
        <w:rPr>
          <w:rFonts w:ascii="Arial" w:hAnsi="Arial"/>
          <w:b/>
          <w:i w:val="0"/>
          <w:sz w:val="28"/>
        </w:rPr>
        <w:t>[BENEFICIO O RÉGIMEN FISCAL NEGADO]</w:t>
      </w:r>
      <w:r>
        <w:rPr>
          <w:rFonts w:ascii="Arial" w:hAnsi="Arial"/>
          <w:b w:val="0"/>
          <w:i w:val="0"/>
          <w:sz w:val="28"/>
        </w:rPr>
        <w:t xml:space="preserve"> y determinó a cargo de la parte actora un crédito fiscal por </w:t>
      </w:r>
      <w:r>
        <w:rPr>
          <w:rFonts w:ascii="Arial" w:hAnsi="Arial"/>
          <w:b/>
          <w:i w:val="0"/>
          <w:sz w:val="28"/>
        </w:rPr>
        <w:t>[CONTRIBUCIÓN Y EJERCICIO REVISADO]</w:t>
      </w:r>
      <w:r>
        <w:rPr>
          <w:rFonts w:ascii="Arial" w:hAnsi="Arial"/>
          <w:b w:val="0"/>
          <w:i w:val="0"/>
          <w:sz w:val="28"/>
        </w:rPr>
        <w:t>, apoyándose en dos afirmaciones que no resisten el examen jurídico ni el probatorio, y que constituyen la única premisa de toda la determinación.</w:t>
      </w:r>
    </w:p>
    <w:p>
      <w:pPr>
        <w:spacing w:line="360" w:lineRule="auto"/>
        <w:jc w:val="both"/>
      </w:pPr>
      <w:r>
        <w:rPr>
          <w:rFonts w:ascii="Arial" w:hAnsi="Arial"/>
          <w:b w:val="0"/>
          <w:i w:val="0"/>
          <w:sz w:val="28"/>
        </w:rPr>
        <w:t xml:space="preserve">La primera afirmación consiste en que </w:t>
      </w:r>
      <w:r>
        <w:rPr>
          <w:rFonts w:ascii="Arial" w:hAnsi="Arial"/>
          <w:b/>
          <w:i w:val="0"/>
          <w:sz w:val="28"/>
        </w:rPr>
        <w:t>[DOCUMENTO EXHIBIDO FUERA DE PLAZO]</w:t>
      </w:r>
      <w:r>
        <w:rPr>
          <w:rFonts w:ascii="Arial" w:hAnsi="Arial"/>
          <w:b w:val="0"/>
          <w:i w:val="0"/>
          <w:sz w:val="28"/>
        </w:rPr>
        <w:t xml:space="preserve"> debe tenerse por no presentado, y con él por incumplido el requisito de fondo, porque se exhibió después del plazo que fija </w:t>
      </w:r>
      <w:r>
        <w:rPr>
          <w:rFonts w:ascii="Arial" w:hAnsi="Arial"/>
          <w:b/>
          <w:i w:val="0"/>
          <w:sz w:val="28"/>
        </w:rPr>
        <w:t>[PRECEPTO O REGLA QUE FIJA EL PLAZO]</w:t>
      </w:r>
      <w:r>
        <w:rPr>
          <w:rFonts w:ascii="Arial" w:hAnsi="Arial"/>
          <w:b w:val="0"/>
          <w:i w:val="0"/>
          <w:sz w:val="28"/>
        </w:rPr>
        <w:t xml:space="preserve">. La segunda consiste en que </w:t>
      </w:r>
      <w:r>
        <w:rPr>
          <w:rFonts w:ascii="Arial" w:hAnsi="Arial"/>
          <w:b/>
          <w:i w:val="0"/>
          <w:sz w:val="28"/>
        </w:rPr>
        <w:t>[TERCERO INVOLUCRADO]</w:t>
      </w:r>
      <w:r>
        <w:rPr>
          <w:rFonts w:ascii="Arial" w:hAnsi="Arial"/>
          <w:b w:val="0"/>
          <w:i w:val="0"/>
          <w:sz w:val="28"/>
        </w:rPr>
        <w:t xml:space="preserve"> no cumplió </w:t>
      </w:r>
      <w:r>
        <w:rPr>
          <w:rFonts w:ascii="Arial" w:hAnsi="Arial"/>
          <w:b/>
          <w:i w:val="0"/>
          <w:sz w:val="28"/>
        </w:rPr>
        <w:t>[OBLIGACIÓN ATRIBUIDA AL TERCERO]</w:t>
      </w:r>
      <w:r>
        <w:rPr>
          <w:rFonts w:ascii="Arial" w:hAnsi="Arial"/>
          <w:b w:val="0"/>
          <w:i w:val="0"/>
          <w:sz w:val="28"/>
        </w:rPr>
        <w:t xml:space="preserve">, pese a que la norma sólo exige esa conducta a quienes </w:t>
      </w:r>
      <w:r>
        <w:rPr>
          <w:rFonts w:ascii="Arial" w:hAnsi="Arial"/>
          <w:b w:val="0"/>
          <w:i/>
          <w:sz w:val="28"/>
        </w:rPr>
        <w:t>“estén obligados a ello”</w:t>
      </w:r>
      <w:r>
        <w:rPr>
          <w:rFonts w:ascii="Arial" w:hAnsi="Arial"/>
          <w:b w:val="0"/>
          <w:i w:val="0"/>
          <w:sz w:val="28"/>
        </w:rPr>
        <w:t xml:space="preserve"> y a que la autoridad jamás demostró que ese tercero se ubicara en el supuesto que la hace exigible.</w:t>
      </w:r>
    </w:p>
    <w:p>
      <w:pPr>
        <w:spacing w:line="360" w:lineRule="auto"/>
        <w:jc w:val="both"/>
      </w:pPr>
      <w:r>
        <w:rPr>
          <w:rFonts w:ascii="Arial" w:hAnsi="Arial"/>
          <w:b w:val="0"/>
          <w:i w:val="0"/>
          <w:sz w:val="28"/>
        </w:rPr>
        <w:t>Frente a ello se sostienen dos premisas que se desarrollan más adelante. La primera: una irregularidad meramente formal, referida a la oportunidad con que se presentó un documento que la autoridad sí tuvo a la vista, no puede producir la pérdida de un derecho sustantivo cuando ninguna norma le asigna esa consecuencia. La segunda: cuando el requisito está condicionado, la actualización de la condición es un hecho que corresponde probar a quien funda en él su resolución, y no al gobernado, menos aún tratándose de un hecho negativo y ajeno.</w:t>
      </w:r>
    </w:p>
    <w:p>
      <w:pPr>
        <w:spacing w:line="360" w:lineRule="auto"/>
        <w:jc w:val="both"/>
      </w:pPr>
      <w:r>
        <w:rPr>
          <w:rFonts w:ascii="Arial" w:hAnsi="Arial"/>
          <w:b w:val="0"/>
          <w:i w:val="0"/>
          <w:sz w:val="28"/>
        </w:rPr>
        <w:t>Ambas ramas se plantean en un solo concepto porque atacan una sola premisa: la de que los requisitos condicionantes del beneficio quedaron incumplidos. Al derrumbarse esa premisa, se derrumba la determinación principal y, por arrastre, todo lo que de ella deriva, incluidos los pagos provisionales, la actualización, los recargos y las multas calculados sobre esa misma base. Por eso este concepto es el de mayor beneficio y se solicita su estudio preferente.</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La resolución impugnada es la contenida en </w:t>
      </w:r>
      <w:r>
        <w:rPr>
          <w:rFonts w:ascii="Arial" w:hAnsi="Arial"/>
          <w:b/>
          <w:i w:val="0"/>
          <w:sz w:val="28"/>
        </w:rPr>
        <w:t>[OFICIO Y FECHA DE LA RESOLUCIÓN IMPUGNADA]</w:t>
      </w:r>
      <w:r>
        <w:rPr>
          <w:rFonts w:ascii="Arial" w:hAnsi="Arial"/>
          <w:b w:val="0"/>
          <w:i w:val="0"/>
          <w:sz w:val="28"/>
        </w:rPr>
        <w:t xml:space="preserve">, emitida por </w:t>
      </w:r>
      <w:r>
        <w:rPr>
          <w:rFonts w:ascii="Arial" w:hAnsi="Arial"/>
          <w:b/>
          <w:i w:val="0"/>
          <w:sz w:val="28"/>
        </w:rPr>
        <w:t>[AUTORIDAD DEMANDADA]</w:t>
      </w:r>
      <w:r>
        <w:rPr>
          <w:rFonts w:ascii="Arial" w:hAnsi="Arial"/>
          <w:b w:val="0"/>
          <w:i w:val="0"/>
          <w:sz w:val="28"/>
        </w:rPr>
        <w:t xml:space="preserve"> y notificada a la parte actora el </w:t>
      </w:r>
      <w:r>
        <w:rPr>
          <w:rFonts w:ascii="Arial" w:hAnsi="Arial"/>
          <w:b/>
          <w:i w:val="0"/>
          <w:sz w:val="28"/>
        </w:rPr>
        <w:t>[FECHA DE NOTIFICACIÓN DE LA RESOLUCIÓN IMPUGNADA]</w:t>
      </w:r>
      <w:r>
        <w:rPr>
          <w:rFonts w:ascii="Arial" w:hAnsi="Arial"/>
          <w:b w:val="0"/>
          <w:i w:val="0"/>
          <w:sz w:val="28"/>
        </w:rPr>
        <w:t xml:space="preserve">, por la que se determinó un crédito fiscal por </w:t>
      </w:r>
      <w:r>
        <w:rPr>
          <w:rFonts w:ascii="Arial" w:hAnsi="Arial"/>
          <w:b/>
          <w:i w:val="0"/>
          <w:sz w:val="28"/>
        </w:rPr>
        <w:t>[CONTRIBUCIÓN Y EJERCICIO REVISADO]</w:t>
      </w:r>
      <w:r>
        <w:rPr>
          <w:rFonts w:ascii="Arial" w:hAnsi="Arial"/>
          <w:b w:val="0"/>
          <w:i w:val="0"/>
          <w:sz w:val="28"/>
        </w:rPr>
        <w:t xml:space="preserve"> al negarse el reconocimiento de </w:t>
      </w:r>
      <w:r>
        <w:rPr>
          <w:rFonts w:ascii="Arial" w:hAnsi="Arial"/>
          <w:b/>
          <w:i w:val="0"/>
          <w:sz w:val="28"/>
        </w:rPr>
        <w:t>[BENEFICIO O RÉGIMEN FISCAL NEGADO]</w:t>
      </w:r>
      <w:r>
        <w:rPr>
          <w:rFonts w:ascii="Arial" w:hAnsi="Arial"/>
          <w:b w:val="0"/>
          <w:i w:val="0"/>
          <w:sz w:val="28"/>
        </w:rPr>
        <w:t>. Se combate en esta vía la totalidad de esa determinación, así como la resolución recaída al recurso administrativo que la confirmó, en la parte que aquí se precisa.</w:t>
      </w:r>
    </w:p>
    <w:p>
      <w:pPr>
        <w:spacing w:line="360" w:lineRule="auto"/>
        <w:jc w:val="both"/>
      </w:pPr>
      <w:r>
        <w:rPr>
          <w:rFonts w:ascii="Arial" w:hAnsi="Arial"/>
          <w:b w:val="0"/>
          <w:i w:val="0"/>
          <w:sz w:val="28"/>
        </w:rPr>
        <w:t xml:space="preserve">Los preceptos cuya inobservancia se plantea son, en primer lugar, el que establece los requisitos del beneficio negado y que, en la fracción aplicable, condiciona expresamente la exigencia a quienes </w:t>
      </w:r>
      <w:r>
        <w:rPr>
          <w:rFonts w:ascii="Arial" w:hAnsi="Arial"/>
          <w:b w:val="0"/>
          <w:i/>
          <w:sz w:val="28"/>
        </w:rPr>
        <w:t>“estén obligadas a ello”</w:t>
      </w:r>
      <w:r>
        <w:rPr>
          <w:rFonts w:ascii="Arial" w:hAnsi="Arial"/>
          <w:b w:val="0"/>
          <w:i w:val="0"/>
          <w:sz w:val="28"/>
        </w:rPr>
        <w:t>; en segundo lugar, los artículos 40 y 42 de la Ley Federal de Procedimiento Contencioso Administrativo, que distribuyen la carga de la prueba en los juicios seguidos ante este Tribunal; y, en tercer lugar, el artículo 38, fracción IV, del Código Fiscal de la Federación, que obliga a la autoridad a fundar y motivar debidamente y con precisión sus resoluciones.</w:t>
      </w:r>
    </w:p>
    <w:p>
      <w:pPr>
        <w:spacing w:line="360" w:lineRule="auto"/>
        <w:jc w:val="both"/>
      </w:pPr>
      <w:r>
        <w:rPr>
          <w:rFonts w:ascii="Arial" w:hAnsi="Arial"/>
          <w:b w:val="0"/>
          <w:i w:val="0"/>
          <w:sz w:val="28"/>
        </w:rPr>
        <w:t xml:space="preserve">Si el juicio se sigue en la vía de resolución exclusiva de fondo, el planteamiento encuadra además, de manera directa, en la causal prevista en el artículo 58-27, fracción IV, de la Ley Federal de Procedimiento Contencioso Administrativo, conforme al cual procede declarar la nulidad cuando </w:t>
      </w:r>
      <w:r>
        <w:rPr>
          <w:rFonts w:ascii="Arial" w:hAnsi="Arial"/>
          <w:b w:val="0"/>
          <w:i/>
          <w:sz w:val="28"/>
        </w:rPr>
        <w:t>“los efectos atribuidos por la autoridad emisora al incumplimiento total, parcial o extemporáneo, de requisitos formales o de procedimiento a cargo del contribuyente resulten excesivos o desproporcionados por no haberse producido las hipótesis de causación de las contribuciones determinadas”</w:t>
      </w:r>
      <w:r>
        <w:rPr>
          <w:rFonts w:ascii="Arial" w:hAnsi="Arial"/>
          <w:b w:val="0"/>
          <w:i w:val="0"/>
          <w:sz w:val="28"/>
        </w:rPr>
        <w:t>.</w:t>
      </w:r>
    </w:p>
    <w:p>
      <w:pPr>
        <w:spacing w:line="360" w:lineRule="auto"/>
        <w:jc w:val="both"/>
      </w:pPr>
      <w:r>
        <w:rPr>
          <w:rFonts w:ascii="Arial" w:hAnsi="Arial"/>
          <w:b w:val="0"/>
          <w:i w:val="0"/>
          <w:sz w:val="28"/>
        </w:rPr>
        <w:t>El perjuicio es concreto y cuantificable. Al tener por incumplidos los requisitos, la autoridad trató la operación como gravada, determinó una base que no existía y sobre ella calculó el impuesto, el pago provisional, la actualización, los recargos y las multas que integran el crédito. La parte actora resiente así una exacción que no corresponde a ninguna manifestación real de capacidad contributiva, en contra de los principios de legalidad y proporcionalidad tributarias que reconoce el artículo 31, fracción IV, de la Constitución Política de los Estados Unidos Mexicanos.</w:t>
      </w:r>
    </w:p>
    <w:p>
      <w:pPr>
        <w:spacing w:line="360" w:lineRule="auto"/>
        <w:jc w:val="both"/>
      </w:pPr>
      <w:r>
        <w:rPr>
          <w:rFonts w:ascii="Arial" w:hAnsi="Arial"/>
          <w:b w:val="0"/>
          <w:i w:val="0"/>
          <w:sz w:val="28"/>
        </w:rPr>
        <w:t xml:space="preserve">De prosperar este concepto, el beneficio es la nulidad de la resolución impugnada para el efecto de que la autoridad deje de considerar gravada la operación, reconozca que se realizó al amparo de </w:t>
      </w:r>
      <w:r>
        <w:rPr>
          <w:rFonts w:ascii="Arial" w:hAnsi="Arial"/>
          <w:b/>
          <w:i w:val="0"/>
          <w:sz w:val="28"/>
        </w:rPr>
        <w:t>[BENEFICIO O RÉGIMEN FISCAL NEGADO]</w:t>
      </w:r>
      <w:r>
        <w:rPr>
          <w:rFonts w:ascii="Arial" w:hAnsi="Arial"/>
          <w:b w:val="0"/>
          <w:i w:val="0"/>
          <w:sz w:val="28"/>
        </w:rPr>
        <w:t xml:space="preserve"> y deje sin efectos las cantidades que derivan de esa base.</w:t>
      </w:r>
    </w:p>
    <w:p>
      <w:pPr>
        <w:spacing w:line="360" w:lineRule="auto"/>
        <w:jc w:val="both"/>
      </w:pPr>
      <w:r>
        <w:rPr>
          <w:rFonts w:ascii="Arial" w:hAnsi="Arial"/>
          <w:b/>
          <w:sz w:val="28"/>
        </w:rPr>
        <w:t>III. Premisa mayor. La forma sirve al fondo, y quien afirma un hecho lo prueba.</w:t>
      </w:r>
    </w:p>
    <w:p>
      <w:pPr>
        <w:spacing w:line="360" w:lineRule="auto"/>
        <w:jc w:val="both"/>
      </w:pPr>
      <w:r>
        <w:rPr>
          <w:rFonts w:ascii="Arial" w:hAnsi="Arial"/>
          <w:b w:val="0"/>
          <w:i w:val="0"/>
          <w:sz w:val="28"/>
        </w:rPr>
        <w:t>Conviene empezar por la naturaleza de los requisitos incumplidos. Las obligaciones que la ley fiscal impone al contribuyente no son todas de la misma clase: unas son sustantivas, porque expresan la obligación de contribuir una vez realizado el hecho imponible, y otras son formales o instrumentales, porque sirven para que la autoridad verifique, controle y administre a las primeras. Las segundas no constituyen la esencia de la obligación tributaria: son mecanismos administrativos que permiten a la autoridad hacerse de los elementos para comprobar el cumplimiento de la obligación principal.</w:t>
      </w:r>
    </w:p>
    <w:p>
      <w:pPr>
        <w:spacing w:line="360" w:lineRule="auto"/>
        <w:jc w:val="both"/>
      </w:pPr>
      <w:r>
        <w:rPr>
          <w:rFonts w:ascii="Arial" w:hAnsi="Arial"/>
          <w:b w:val="0"/>
          <w:i w:val="0"/>
          <w:sz w:val="28"/>
        </w:rPr>
        <w:t>De esa distinción se sigue una consecuencia que la propia legislación contenciosa recoge. Si la finalidad del requisito formal es que la autoridad cuente con determinada información, y la autoridad la tuvo efectivamente a su alcance, la inobservancia de la forma pierde toda aptitud para justificar la pérdida del derecho sustantivo. El sistema fiscal debe privilegiar el análisis de la realidad de las operaciones y el cumplimiento material, evitando que irregularidades meramente formales se traduzcan en la negación de derechos sustantivos.</w:t>
      </w:r>
    </w:p>
    <w:p>
      <w:pPr>
        <w:spacing w:line="360" w:lineRule="auto"/>
        <w:jc w:val="both"/>
      </w:pPr>
      <w:r>
        <w:rPr>
          <w:rFonts w:ascii="Arial" w:hAnsi="Arial"/>
          <w:b w:val="0"/>
          <w:i w:val="0"/>
          <w:sz w:val="28"/>
        </w:rPr>
        <w:t>La doctrina ha dado nombre a ese defecto. Se llama formalismo excesivo, o formalismo enervante, al rigor en la exigencia de una formalidad que termina menoscabando el derecho fundamental que la norma pretendía servir.</w:t>
      </w:r>
      <w:r>
        <w:rPr>
          <w:rFonts w:ascii="Arial" w:hAnsi="Arial"/>
          <w:vertAlign w:val="superscript"/>
        </w:rPr>
        <w:t>1</w:t>
      </w:r>
      <w:r>
        <w:rPr>
          <w:rFonts w:ascii="Arial" w:hAnsi="Arial"/>
          <w:b w:val="0"/>
          <w:i w:val="0"/>
          <w:sz w:val="28"/>
        </w:rPr>
        <w:t xml:space="preserve"> La expresión no es un adorno retórico: describe con precisión el momento en que la forma deja de ser instrumento del fondo y se convierte en su obstáculo, que es exactamente lo que ocurre cuando un documento presentado un día tarde se tiene por inexistente.</w:t>
      </w:r>
    </w:p>
    <w:p>
      <w:pPr>
        <w:spacing w:line="360" w:lineRule="auto"/>
        <w:jc w:val="both"/>
      </w:pPr>
      <w:r>
        <w:rPr>
          <w:rFonts w:ascii="Arial" w:hAnsi="Arial"/>
          <w:b w:val="0"/>
          <w:i w:val="0"/>
          <w:sz w:val="28"/>
        </w:rPr>
        <w:t>El mismo resultado se alcanza por la vía de la interpretación. El argumento teleológico indica que la norma debe interpretarse atendiendo a la finalidad que persigue.</w:t>
      </w:r>
      <w:r>
        <w:rPr>
          <w:rFonts w:ascii="Arial" w:hAnsi="Arial"/>
          <w:vertAlign w:val="superscript"/>
        </w:rPr>
        <w:t>2</w:t>
      </w:r>
      <w:r>
        <w:rPr>
          <w:rFonts w:ascii="Arial" w:hAnsi="Arial"/>
          <w:b w:val="0"/>
          <w:i w:val="0"/>
          <w:sz w:val="28"/>
        </w:rPr>
        <w:t xml:space="preserve"> Esa directriz supone entender la disposición como un medio para alcanzar un fin, y no como un fin en sí misma.</w:t>
      </w:r>
      <w:r>
        <w:rPr>
          <w:rFonts w:ascii="Arial" w:hAnsi="Arial"/>
          <w:vertAlign w:val="superscript"/>
        </w:rPr>
        <w:t>3</w:t>
      </w:r>
      <w:r>
        <w:rPr>
          <w:rFonts w:ascii="Arial" w:hAnsi="Arial"/>
          <w:b w:val="0"/>
          <w:i w:val="0"/>
          <w:sz w:val="28"/>
        </w:rPr>
        <w:t xml:space="preserve"> Si el plazo para exhibir un documento existe para que la autoridad pueda examinarlo con oportunidad, y la autoridad lo examinó o pudo examinarlo, la interpretación que convierte el retraso en pérdida del derecho contradice el propósito mismo de la regla.</w:t>
      </w:r>
    </w:p>
    <w:p>
      <w:pPr>
        <w:spacing w:line="360" w:lineRule="auto"/>
        <w:jc w:val="both"/>
      </w:pPr>
      <w:r>
        <w:rPr>
          <w:rFonts w:ascii="Arial" w:hAnsi="Arial"/>
          <w:b w:val="0"/>
          <w:i w:val="0"/>
          <w:sz w:val="28"/>
        </w:rPr>
        <w:t>A ello se suma la medida de la consecuencia. Una medida estatal puede ser idónea y necesaria y, aun así, resultar excesiva: lo es cuando el peso de los argumentos que hablan a favor del fin perseguido no sobrepasa el peso de los argumentos que hablan a favor de evitar la afectación que produce.</w:t>
      </w:r>
      <w:r>
        <w:rPr>
          <w:rFonts w:ascii="Arial" w:hAnsi="Arial"/>
          <w:vertAlign w:val="superscript"/>
        </w:rPr>
        <w:t>4</w:t>
      </w:r>
      <w:r>
        <w:rPr>
          <w:rFonts w:ascii="Arial" w:hAnsi="Arial"/>
          <w:b w:val="0"/>
          <w:i w:val="0"/>
          <w:sz w:val="28"/>
        </w:rPr>
        <w:t xml:space="preserve"> Trasladada al terreno fiscal, la idea es sencilla: el interés administrativo en la puntualidad no pesa más que el derecho a tributar conforme a la operación efectivamente realizada.</w:t>
      </w:r>
    </w:p>
    <w:p>
      <w:pPr>
        <w:spacing w:line="360" w:lineRule="auto"/>
        <w:jc w:val="both"/>
      </w:pPr>
      <w:r>
        <w:rPr>
          <w:rFonts w:ascii="Arial" w:hAnsi="Arial"/>
          <w:b w:val="0"/>
          <w:i w:val="0"/>
          <w:sz w:val="28"/>
        </w:rPr>
        <w:t>La segunda rama descansa en una regla probatoria elemental. El principio de la carga de la prueba postula que quien afirma un hecho en el proceso debe probarlo, y que no basta la declaración de la propia autoridad recurrida para tener por acreditada la verdad de su dicho.</w:t>
      </w:r>
      <w:r>
        <w:rPr>
          <w:rFonts w:ascii="Arial" w:hAnsi="Arial"/>
          <w:vertAlign w:val="superscript"/>
        </w:rPr>
        <w:t>5</w:t>
      </w:r>
      <w:r>
        <w:rPr>
          <w:rFonts w:ascii="Arial" w:hAnsi="Arial"/>
          <w:b w:val="0"/>
          <w:i w:val="0"/>
          <w:sz w:val="28"/>
        </w:rPr>
        <w:t xml:space="preserve"> Esa regla no se suspende porque el acto administrativo goce de presunción de legalidad; la presunción distribuye el orden de la discusión, no dispensa de probar los hechos que la resolución afirma.</w:t>
      </w:r>
    </w:p>
    <w:p>
      <w:pPr>
        <w:spacing w:line="360" w:lineRule="auto"/>
        <w:jc w:val="both"/>
      </w:pPr>
      <w:r>
        <w:rPr>
          <w:rFonts w:ascii="Arial" w:hAnsi="Arial"/>
          <w:b w:val="0"/>
          <w:i w:val="0"/>
          <w:sz w:val="28"/>
        </w:rPr>
        <w:t xml:space="preserve">Así lo establece el derecho positivo aplicable a este juicio. El artículo 40 de la Ley Federal de Procedimiento Contencioso Administrativo dispone que </w:t>
      </w:r>
      <w:r>
        <w:rPr>
          <w:rFonts w:ascii="Arial" w:hAnsi="Arial"/>
          <w:b w:val="0"/>
          <w:i/>
          <w:sz w:val="28"/>
        </w:rPr>
        <w:t>“el actor que pretende se reconozca o se haga efectivo un derecho subjetivo, deberá probar los hechos de los que deriva su derecho y la violación del mismo, cuando ésta consista en hechos positivos y el demandado de sus excepciones”</w:t>
      </w:r>
      <w:r>
        <w:rPr>
          <w:rFonts w:ascii="Arial" w:hAnsi="Arial"/>
          <w:b w:val="0"/>
          <w:i w:val="0"/>
          <w:sz w:val="28"/>
        </w:rPr>
        <w:t>.</w:t>
      </w:r>
    </w:p>
    <w:p>
      <w:pPr>
        <w:spacing w:line="360" w:lineRule="auto"/>
        <w:jc w:val="both"/>
      </w:pPr>
      <w:r>
        <w:rPr>
          <w:rFonts w:ascii="Arial" w:hAnsi="Arial"/>
          <w:b w:val="0"/>
          <w:i w:val="0"/>
          <w:sz w:val="28"/>
        </w:rPr>
        <w:t xml:space="preserve">Y el artículo 42 del mismo ordenamiento precisa el contrapeso: </w:t>
      </w:r>
      <w:r>
        <w:rPr>
          <w:rFonts w:ascii="Arial" w:hAnsi="Arial"/>
          <w:b w:val="0"/>
          <w:i/>
          <w:sz w:val="28"/>
        </w:rPr>
        <w:t>“Las resoluciones y actos administrativos se presumirán legales. Sin embargo, las autoridades deberán probar los hechos que los motiven cuando el afectado los niegue lisa y llanamente, a menos que la negativa implique la afirmación de otro hecho.”</w:t>
      </w:r>
      <w:r>
        <w:rPr>
          <w:rFonts w:ascii="Arial" w:hAnsi="Arial"/>
          <w:b w:val="0"/>
          <w:i w:val="0"/>
          <w:sz w:val="28"/>
        </w:rPr>
        <w:t xml:space="preserve"> De ambos preceptos se sigue que la negativa lisa y llana del contribuyente devuelve a la autoridad la carga de acreditar el hecho en que sustentó su determinación.</w:t>
      </w:r>
    </w:p>
    <w:p>
      <w:pPr>
        <w:spacing w:line="360" w:lineRule="auto"/>
        <w:jc w:val="both"/>
      </w:pPr>
      <w:r>
        <w:rPr>
          <w:rFonts w:ascii="Arial" w:hAnsi="Arial"/>
          <w:b w:val="0"/>
          <w:i w:val="0"/>
          <w:sz w:val="28"/>
        </w:rPr>
        <w:t xml:space="preserve">La conclusión se refuerza cuando el hecho afirmado es, además, ajeno. Si la norma condiciona el requisito a que un tercero </w:t>
      </w:r>
      <w:r>
        <w:rPr>
          <w:rFonts w:ascii="Arial" w:hAnsi="Arial"/>
          <w:b w:val="0"/>
          <w:i/>
          <w:sz w:val="28"/>
        </w:rPr>
        <w:t>“esté obligado”</w:t>
      </w:r>
      <w:r>
        <w:rPr>
          <w:rFonts w:ascii="Arial" w:hAnsi="Arial"/>
          <w:b w:val="0"/>
          <w:i w:val="0"/>
          <w:sz w:val="28"/>
        </w:rPr>
        <w:t xml:space="preserve"> a cierta conducta, la actualización de ese supuesto es presupuesto indispensable de la exigencia; y como se trata de un contribuyente distinto, sobre cuya situación fiscal la parte actora no tiene control ni acceso, exigirle que demuestre que el tercero no estaba obligado equivale a pedirle la prueba de una negación referida a la esfera de otro. La autoridad, en cambio, cuenta con facultades para requerir esa información y verificarla.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Los hechos encajan sin esfuerzo en las premisas anteriores. Consta en el expediente administrativo que </w:t>
      </w:r>
      <w:r>
        <w:rPr>
          <w:rFonts w:ascii="Arial" w:hAnsi="Arial"/>
          <w:b/>
          <w:i w:val="0"/>
          <w:sz w:val="28"/>
        </w:rPr>
        <w:t>[DOCUMENTO EXHIBIDO FUERA DE PLAZO]</w:t>
      </w:r>
      <w:r>
        <w:rPr>
          <w:rFonts w:ascii="Arial" w:hAnsi="Arial"/>
          <w:b w:val="0"/>
          <w:i w:val="0"/>
          <w:sz w:val="28"/>
        </w:rPr>
        <w:t xml:space="preserve"> fue efectivamente presentado ante la autoridad el </w:t>
      </w:r>
      <w:r>
        <w:rPr>
          <w:rFonts w:ascii="Arial" w:hAnsi="Arial"/>
          <w:b/>
          <w:i w:val="0"/>
          <w:sz w:val="28"/>
        </w:rPr>
        <w:t>[FECHA DE PRESENTACIÓN DEL DOCUMENTO]</w:t>
      </w:r>
      <w:r>
        <w:rPr>
          <w:rFonts w:ascii="Arial" w:hAnsi="Arial"/>
          <w:b w:val="0"/>
          <w:i w:val="0"/>
          <w:sz w:val="28"/>
        </w:rPr>
        <w:t>, de modo que la propia demandada lo tuvo a su disposición, con todos los elementos técnicos que la norma le pide contener. La irregularidad que se reprocha a la parte actora no es la ausencia del documento, sino únicamente la oportunidad de su presentación.</w:t>
      </w:r>
    </w:p>
    <w:p>
      <w:pPr>
        <w:spacing w:line="360" w:lineRule="auto"/>
        <w:jc w:val="both"/>
      </w:pPr>
      <w:r>
        <w:rPr>
          <w:rFonts w:ascii="Arial" w:hAnsi="Arial"/>
          <w:b w:val="0"/>
          <w:i w:val="0"/>
          <w:sz w:val="28"/>
        </w:rPr>
        <w:t xml:space="preserve">Pese a ello, la autoridad razonó en los siguientes términos: </w:t>
      </w:r>
      <w:r>
        <w:rPr>
          <w:rFonts w:ascii="Arial" w:hAnsi="Arial"/>
          <w:b/>
          <w:i w:val="0"/>
          <w:sz w:val="28"/>
        </w:rPr>
        <w:t>[TRANSCRIPCIÓN DEL RAZONAMIENTO DE LA AUTORIDAD]</w:t>
      </w:r>
      <w:r>
        <w:rPr>
          <w:rFonts w:ascii="Arial" w:hAnsi="Arial"/>
          <w:b w:val="0"/>
          <w:i w:val="0"/>
          <w:sz w:val="28"/>
        </w:rPr>
        <w:t xml:space="preserve">. La idea central de esa motivación es que la presentación fuera de plazo produce, por sí sola, el efecto de tener el documento por no presentado y el requisito por incumplido. Ese enunciado, sin embargo, no aparece en </w:t>
      </w:r>
      <w:r>
        <w:rPr>
          <w:rFonts w:ascii="Arial" w:hAnsi="Arial"/>
          <w:b/>
          <w:i w:val="0"/>
          <w:sz w:val="28"/>
        </w:rPr>
        <w:t>[PRECEPTO O REGLA QUE FIJA EL PLAZO]</w:t>
      </w:r>
      <w:r>
        <w:rPr>
          <w:rFonts w:ascii="Arial" w:hAnsi="Arial"/>
          <w:b w:val="0"/>
          <w:i w:val="0"/>
          <w:sz w:val="28"/>
        </w:rPr>
        <w:t>, ni en la autorización que en su momento se otorgó a la parte actora, ni en ninguna otra disposición que la resolución cite, sencillamente porque la resolución no cita ninguna.</w:t>
      </w:r>
    </w:p>
    <w:p>
      <w:pPr>
        <w:spacing w:line="360" w:lineRule="auto"/>
        <w:jc w:val="both"/>
      </w:pPr>
      <w:r>
        <w:rPr>
          <w:rFonts w:ascii="Arial" w:hAnsi="Arial"/>
          <w:b w:val="0"/>
          <w:i w:val="0"/>
          <w:sz w:val="28"/>
        </w:rPr>
        <w:t>Aquí está el primer error lógico, y conviene nombrarlo. La autoridad incurre en petición de principio, falacia que consiste en tomar como probado lo que precisamente había de demostrarse, es decir, en no demostrar.</w:t>
      </w:r>
      <w:r>
        <w:rPr>
          <w:rFonts w:ascii="Arial" w:hAnsi="Arial"/>
          <w:vertAlign w:val="superscript"/>
        </w:rPr>
        <w:t>6</w:t>
      </w:r>
      <w:r>
        <w:rPr>
          <w:rFonts w:ascii="Arial" w:hAnsi="Arial"/>
          <w:b w:val="0"/>
          <w:i w:val="0"/>
          <w:sz w:val="28"/>
        </w:rPr>
        <w:t xml:space="preserve"> La conclusión que debía sostenerse con un precepto —que la extemporaneidad equivale a incumplimiento— se emplea como si fuera la premisa; el razonamiento gira sobre sí mismo y en ningún punto toca una norma que lo respalde.</w:t>
      </w:r>
    </w:p>
    <w:p>
      <w:pPr>
        <w:spacing w:line="360" w:lineRule="auto"/>
        <w:jc w:val="both"/>
      </w:pPr>
      <w:r>
        <w:rPr>
          <w:rFonts w:ascii="Arial" w:hAnsi="Arial"/>
          <w:b w:val="0"/>
          <w:i w:val="0"/>
          <w:sz w:val="28"/>
        </w:rPr>
        <w:t>El correctivo es evidente: la autoridad debió señalar el precepto expreso que sanciona la presentación tardía con el desconocimiento del documento y, a falta de él, analizar el contenido de lo exhibido para verificar si el requisito de fondo estaba o no satisfecho. No hizo ni lo uno ni lo otro. Al desconocer los efectos del documento sólo por la fecha de su presentación, atribuyó a un requisito formal una consecuencia que excede la finalidad de la norma, vicio que en la vía de resolución exclusiva de fondo describe el artículo 58-27, fracción IV, de la Ley Federal de Procedimiento Contencioso Administrativo.</w:t>
      </w:r>
    </w:p>
    <w:p>
      <w:pPr>
        <w:spacing w:line="360" w:lineRule="auto"/>
        <w:jc w:val="both"/>
      </w:pPr>
      <w:r>
        <w:rPr>
          <w:rFonts w:ascii="Arial" w:hAnsi="Arial"/>
          <w:b w:val="0"/>
          <w:i w:val="0"/>
          <w:sz w:val="28"/>
        </w:rPr>
        <w:t xml:space="preserve">La segunda rama del razonamiento de la demandada es todavía más frágil. La autoridad afirmó que </w:t>
      </w:r>
      <w:r>
        <w:rPr>
          <w:rFonts w:ascii="Arial" w:hAnsi="Arial"/>
          <w:b/>
          <w:i w:val="0"/>
          <w:sz w:val="28"/>
        </w:rPr>
        <w:t>[TERCERO INVOLUCRADO]</w:t>
      </w:r>
      <w:r>
        <w:rPr>
          <w:rFonts w:ascii="Arial" w:hAnsi="Arial"/>
          <w:b w:val="0"/>
          <w:i w:val="0"/>
          <w:sz w:val="28"/>
        </w:rPr>
        <w:t xml:space="preserve"> no cumplió </w:t>
      </w:r>
      <w:r>
        <w:rPr>
          <w:rFonts w:ascii="Arial" w:hAnsi="Arial"/>
          <w:b/>
          <w:i w:val="0"/>
          <w:sz w:val="28"/>
        </w:rPr>
        <w:t>[OBLIGACIÓN ATRIBUIDA AL TERCERO]</w:t>
      </w:r>
      <w:r>
        <w:rPr>
          <w:rFonts w:ascii="Arial" w:hAnsi="Arial"/>
          <w:b w:val="0"/>
          <w:i w:val="0"/>
          <w:sz w:val="28"/>
        </w:rPr>
        <w:t xml:space="preserve"> y de ahí concluyó el incumplimiento del requisito. Omitió, sin embargo, el paso previo e indispensable: acreditar que ese tercero se ubicaba en los parámetros de ingresos, activos o pertenencia a un grupo que generan tal obligación. La norma no exige la conducta a todos, sino a quienes </w:t>
      </w:r>
      <w:r>
        <w:rPr>
          <w:rFonts w:ascii="Arial" w:hAnsi="Arial"/>
          <w:b w:val="0"/>
          <w:i/>
          <w:sz w:val="28"/>
        </w:rPr>
        <w:t>“estén obligados a ello”</w:t>
      </w:r>
      <w:r>
        <w:rPr>
          <w:rFonts w:ascii="Arial" w:hAnsi="Arial"/>
          <w:b w:val="0"/>
          <w:i w:val="0"/>
          <w:sz w:val="28"/>
        </w:rPr>
        <w:t>, y esa condición es un hecho que debía probarse.</w:t>
      </w:r>
    </w:p>
    <w:p>
      <w:pPr>
        <w:spacing w:line="360" w:lineRule="auto"/>
        <w:jc w:val="both"/>
      </w:pPr>
      <w:r>
        <w:rPr>
          <w:rFonts w:ascii="Arial" w:hAnsi="Arial"/>
          <w:b w:val="0"/>
          <w:i w:val="0"/>
          <w:sz w:val="28"/>
        </w:rPr>
        <w:t>Ese salto es una segunda falacia, la de eludir la carga de la prueba, que consiste en no aportar razones que fundamenten la conclusión o en pretender que las aporte el oponente.</w:t>
      </w:r>
      <w:r>
        <w:rPr>
          <w:rFonts w:ascii="Arial" w:hAnsi="Arial"/>
          <w:vertAlign w:val="superscript"/>
        </w:rPr>
        <w:t>7</w:t>
      </w:r>
      <w:r>
        <w:rPr>
          <w:rFonts w:ascii="Arial" w:hAnsi="Arial"/>
          <w:b w:val="0"/>
          <w:i w:val="0"/>
          <w:sz w:val="28"/>
        </w:rPr>
        <w:t xml:space="preserve"> La resolución reprocha a la parte actora no haber demostrado que el tercero no estaba obligado, cuando era la autoridad quien afirmaba el hecho constitutivo de su determinación. Se le pide al gobernado, en suma, que pruebe una negación sobre la situación fiscal de un contribuyente distinto.</w:t>
      </w:r>
    </w:p>
    <w:p>
      <w:pPr>
        <w:spacing w:line="360" w:lineRule="auto"/>
        <w:jc w:val="both"/>
      </w:pPr>
      <w:r>
        <w:rPr>
          <w:rFonts w:ascii="Arial" w:hAnsi="Arial"/>
          <w:b w:val="0"/>
          <w:i w:val="0"/>
          <w:sz w:val="28"/>
        </w:rPr>
        <w:t xml:space="preserve">Desde ahora se niega lisa y llanamente ese hecho: la parte actora niega que </w:t>
      </w:r>
      <w:r>
        <w:rPr>
          <w:rFonts w:ascii="Arial" w:hAnsi="Arial"/>
          <w:b/>
          <w:i w:val="0"/>
          <w:sz w:val="28"/>
        </w:rPr>
        <w:t>[TERCERO INVOLUCRADO]</w:t>
      </w:r>
      <w:r>
        <w:rPr>
          <w:rFonts w:ascii="Arial" w:hAnsi="Arial"/>
          <w:b w:val="0"/>
          <w:i w:val="0"/>
          <w:sz w:val="28"/>
        </w:rPr>
        <w:t xml:space="preserve"> se ubicara en el supuesto que genera </w:t>
      </w:r>
      <w:r>
        <w:rPr>
          <w:rFonts w:ascii="Arial" w:hAnsi="Arial"/>
          <w:b/>
          <w:i w:val="0"/>
          <w:sz w:val="28"/>
        </w:rPr>
        <w:t>[OBLIGACIÓN ATRIBUIDA AL TERCERO]</w:t>
      </w:r>
      <w:r>
        <w:rPr>
          <w:rFonts w:ascii="Arial" w:hAnsi="Arial"/>
          <w:b w:val="0"/>
          <w:i w:val="0"/>
          <w:sz w:val="28"/>
        </w:rPr>
        <w:t>. Esa negativa no envuelve la afirmación de ningún hecho diverso, de suerte que actualiza sin matices la regla del artículo 42 de la Ley Federal de Procedimiento Contencioso Administrativo y devuelve a la demandada la carga de acreditar aquello en que sustentó su resolución, lo que no hizo ni en la determinante ni al resolver el recurso.</w:t>
      </w:r>
    </w:p>
    <w:p>
      <w:pPr>
        <w:spacing w:line="360" w:lineRule="auto"/>
        <w:jc w:val="both"/>
      </w:pPr>
      <w:r>
        <w:rPr>
          <w:rFonts w:ascii="Arial" w:hAnsi="Arial"/>
          <w:b w:val="0"/>
          <w:i w:val="0"/>
          <w:sz w:val="28"/>
        </w:rPr>
        <w:t>A ello se añade una omisión que agrava el vicio. La autoridad contaba con facultades suficientes para requerir directamente al tercero la información que necesitaba, o para consultarla en sus propias bases, y no las ejerció; prefirió trasladar al contribuyente revisado una carga probatoria que no le tocaba. Una determinación construida sobre esa omisión no está debidamente motivada, pues no se encuentra demostrada la actualización del supuesto fáctico que la sustenta, como lo exige el artículo 38, fracción IV, del Código Fiscal de la Federación.</w:t>
      </w:r>
    </w:p>
    <w:p>
      <w:pPr>
        <w:spacing w:line="360" w:lineRule="auto"/>
        <w:jc w:val="both"/>
      </w:pPr>
      <w:r>
        <w:rPr>
          <w:rFonts w:ascii="Arial" w:hAnsi="Arial"/>
          <w:b w:val="0"/>
          <w:i w:val="0"/>
          <w:sz w:val="28"/>
        </w:rPr>
        <w:t>Conviene anticipar la respuesta previsible de la demandada, consistente en invocar la presunción de legalidad de sus actos. El argumento es circular y ya fue descartado: la presunción opera mientras el hecho no se niega, y aquí se niega de manera lisa y llana. Sostener que el acto es legal porque se presume legal, y que se presume legal porque el particular no probó lo contrario, es reiterar la misma petición de principio, ahora vestida de regla procesal.</w:t>
      </w:r>
    </w:p>
    <w:p>
      <w:pPr>
        <w:spacing w:line="360" w:lineRule="auto"/>
        <w:jc w:val="both"/>
      </w:pPr>
      <w:r>
        <w:rPr>
          <w:rFonts w:ascii="Arial" w:hAnsi="Arial"/>
          <w:b w:val="0"/>
          <w:i w:val="0"/>
          <w:sz w:val="28"/>
        </w:rPr>
        <w:t xml:space="preserve">Las pruebas que sostienen lo afirmado en este concepto son </w:t>
      </w:r>
      <w:r>
        <w:rPr>
          <w:rFonts w:ascii="Arial" w:hAnsi="Arial"/>
          <w:b/>
          <w:i w:val="0"/>
          <w:sz w:val="28"/>
        </w:rPr>
        <w:t>[PRUEBAS OFRECIDAS]</w:t>
      </w:r>
      <w:r>
        <w:rPr>
          <w:rFonts w:ascii="Arial" w:hAnsi="Arial"/>
          <w:b w:val="0"/>
          <w:i w:val="0"/>
          <w:sz w:val="28"/>
        </w:rPr>
        <w:t>, que se ofrecen en el capítulo respectivo y que obran en su mayor parte en el propio expediente administrativo, formado por la autoridad. Basta su valoración conjunta para advertir que el documento sí fue exhibido y que la resolución no contiene un solo elemento objetivo del que se desprenda la obligación que se atribuye al tercero.</w:t>
      </w:r>
    </w:p>
    <w:p>
      <w:pPr>
        <w:spacing w:line="360" w:lineRule="auto"/>
        <w:jc w:val="both"/>
      </w:pPr>
      <w:r>
        <w:rPr>
          <w:rFonts w:ascii="Arial" w:hAnsi="Arial"/>
          <w:b w:val="0"/>
          <w:i w:val="0"/>
          <w:sz w:val="28"/>
        </w:rPr>
        <w:t>Finalmente, importa medir la consecuencia sistémica de convalidar esta motivación. Si bastara con que un documento se presente un día después del plazo para tenerlo por inexistente, y con que la autoridad afirme sin prueba la conducta de un tercero para tener por incumplido un requisito condicionado, los beneficios y regímenes que la ley reconoce quedarían a merced de la puntualidad administrativa y de aseveraciones no verificables. El resultado es incompatible con el principio de legalidad y con la distribución de la carga probatoria que rigen este juicio.</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 xml:space="preserve">En suma: la autoridad tuvo por incumplidos los requisitos condicionantes de </w:t>
      </w:r>
      <w:r>
        <w:rPr>
          <w:rFonts w:ascii="Arial" w:hAnsi="Arial"/>
          <w:b/>
          <w:i w:val="0"/>
          <w:sz w:val="28"/>
        </w:rPr>
        <w:t>[BENEFICIO O RÉGIMEN FISCAL NEGADO]</w:t>
      </w:r>
      <w:r>
        <w:rPr>
          <w:rFonts w:ascii="Arial" w:hAnsi="Arial"/>
          <w:b w:val="0"/>
          <w:i w:val="0"/>
          <w:sz w:val="28"/>
        </w:rPr>
        <w:t xml:space="preserve"> sin precepto que sancione la extemporaneidad con el desconocimiento del documento, sin analizar el contenido de lo que sí obraba en su poder y sin probar que </w:t>
      </w:r>
      <w:r>
        <w:rPr>
          <w:rFonts w:ascii="Arial" w:hAnsi="Arial"/>
          <w:b/>
          <w:i w:val="0"/>
          <w:sz w:val="28"/>
        </w:rPr>
        <w:t>[TERCERO INVOLUCRADO]</w:t>
      </w:r>
      <w:r>
        <w:rPr>
          <w:rFonts w:ascii="Arial" w:hAnsi="Arial"/>
          <w:b w:val="0"/>
          <w:i w:val="0"/>
          <w:sz w:val="28"/>
        </w:rPr>
        <w:t xml:space="preserve"> estuviera obligado a la conducta que le atribuye. Cae así la premisa de la determinación y, con ella, la base gravable, los pagos provisionales que de ella derivan y los accesorios calculados sobre ese mismo monto.</w:t>
      </w:r>
    </w:p>
    <w:p>
      <w:pPr>
        <w:spacing w:line="360" w:lineRule="auto"/>
        <w:jc w:val="both"/>
      </w:pPr>
      <w:r>
        <w:rPr>
          <w:rFonts w:ascii="Arial" w:hAnsi="Arial"/>
          <w:b w:val="0"/>
          <w:i w:val="0"/>
          <w:sz w:val="28"/>
        </w:rPr>
        <w:t xml:space="preserve">Por lo expuesto, procede declarar fundado el presente concepto de impugnación y decretar la nulidad de la resolución impugnada, para el efecto de que la autoridad reconozca que la operación se realizó al amparo de </w:t>
      </w:r>
      <w:r>
        <w:rPr>
          <w:rFonts w:ascii="Arial" w:hAnsi="Arial"/>
          <w:b/>
          <w:i w:val="0"/>
          <w:sz w:val="28"/>
        </w:rPr>
        <w:t>[BENEFICIO O RÉGIMEN FISCAL NEGADO]</w:t>
      </w:r>
      <w:r>
        <w:rPr>
          <w:rFonts w:ascii="Arial" w:hAnsi="Arial"/>
          <w:b w:val="0"/>
          <w:i w:val="0"/>
          <w:sz w:val="28"/>
        </w:rPr>
        <w:t>, deje de considerarla gravada y deje sin efectos las cantidades determinadas sobre esa base, así como los accesorios correspondientes.</w:t>
      </w:r>
    </w:p>
    <w:p>
      <w:pPr>
        <w:spacing w:line="360" w:lineRule="auto"/>
        <w:jc w:val="both"/>
      </w:pPr>
      <w:r>
        <w:rPr>
          <w:rFonts w:ascii="Arial" w:hAnsi="Arial"/>
          <w:b w:val="0"/>
          <w:i w:val="0"/>
          <w:sz w:val="28"/>
        </w:rPr>
        <w:t>Se solicita el estudio preferente de este concepto, por ser el de mayor beneficio: acogido, resulta innecesario examinar los planteamientos relativos a la cuantificación de la base y al método de valuación empleado, que se formulan de manera subsidiaria para el único supuesto de que este apartado se declarara infundado.</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 p. 114.</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 p. 154.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248.</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CLÉRICO, Laura, </w:t>
      </w:r>
      <w:r>
        <w:rPr>
          <w:rFonts w:ascii="Arial" w:hAnsi="Arial"/>
          <w:i/>
          <w:sz w:val="20"/>
        </w:rPr>
        <w:t>Derechos y proporcionalidad: violaciones por acción, por insuficiencia y por regresión. Miradas locales, interamericanas y comparadas</w:t>
      </w:r>
      <w:r>
        <w:rPr>
          <w:rFonts w:ascii="Arial" w:hAnsi="Arial"/>
          <w:i w:val="0"/>
          <w:sz w:val="20"/>
        </w:rPr>
        <w:t>, Instituto de Estudios Constitucionales del Estado de Querétaro, México, 2018, p. 43.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 p. 228.</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7</w:t>
      </w:r>
      <w:r>
        <w:rPr>
          <w:sz w:val="20"/>
        </w:rPr>
        <w:t xml:space="preserve"> </w:t>
      </w:r>
      <w:r>
        <w:rPr>
          <w:rFonts w:ascii="Arial" w:hAnsi="Arial"/>
          <w:i w:val="0"/>
          <w:sz w:val="20"/>
        </w:rPr>
        <w:t>GARCÍA DAMBORENEA, op. cit.</w:t>
      </w:r>
      <w:r>
        <w:rPr>
          <w:rFonts w:ascii="Arial" w:hAnsi="Arial"/>
          <w:i w:val="0"/>
          <w:sz w:val="20"/>
        </w:rPr>
        <w:t>, p. 38.</w:t>
      </w:r>
    </w:p>
    <w:p/>
    <w:p>
      <w:r>
        <w:rPr>
          <w:rFonts w:ascii="Arial" w:hAnsi="Arial"/>
          <w:b/>
          <w:sz w:val="22"/>
        </w:rPr>
        <w:t>BIBLIOGRAFÍA</w:t>
      </w:r>
    </w:p>
    <w:p>
      <w:pPr>
        <w:spacing w:after="60"/>
        <w:ind w:left="360" w:hanging="360"/>
        <w:jc w:val="both"/>
      </w:pPr>
      <w:r>
        <w:rPr>
          <w:rFonts w:ascii="Arial" w:hAnsi="Arial"/>
          <w:i w:val="0"/>
          <w:sz w:val="20"/>
        </w:rPr>
        <w:t xml:space="preserve">CLÉRICO, Laura, </w:t>
      </w:r>
      <w:r>
        <w:rPr>
          <w:rFonts w:ascii="Arial" w:hAnsi="Arial"/>
          <w:i/>
          <w:sz w:val="20"/>
        </w:rPr>
        <w:t>Derechos y proporcionalidad: violaciones por acción, por insuficiencia y por regresión. Miradas locales, interamericanas y comparadas</w:t>
      </w:r>
      <w:r>
        <w:rPr>
          <w:rFonts w:ascii="Arial" w:hAnsi="Arial"/>
          <w:i w:val="0"/>
          <w:sz w:val="20"/>
        </w:rPr>
        <w:t>, Instituto de Estudios Constitucionales del Estado de Querétaro, México, 2018.</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FERRER MAC-GREGOR, Eduardo et al. (coord.), </w:t>
      </w:r>
      <w:r>
        <w:rPr>
          <w:rFonts w:ascii="Arial" w:hAnsi="Arial"/>
          <w:i/>
          <w:sz w:val="20"/>
        </w:rPr>
        <w:t>Diccionario de derecho procesal constitucional y convencional. Tomo I</w:t>
      </w:r>
      <w:r>
        <w:rPr>
          <w:rFonts w:ascii="Arial" w:hAnsi="Arial"/>
          <w:i w:val="0"/>
          <w:sz w:val="20"/>
        </w:rPr>
        <w:t>, 3ª ed., Universidad Nacional Autónoma de México, Instituto de Investigaciones Jurídicas; Instituto de Estudios Constitucionales del Estado de Querétaro, México, 2021.</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GÓMORA JUÁREZ, Sandra, </w:t>
      </w:r>
      <w:r>
        <w:rPr>
          <w:rFonts w:ascii="Arial" w:hAnsi="Arial"/>
          <w:i/>
          <w:sz w:val="20"/>
        </w:rPr>
        <w:t>Un análisis conceptual del precedente judicial</w:t>
      </w:r>
      <w:r>
        <w:rPr>
          <w:rFonts w:ascii="Arial" w:hAnsi="Arial"/>
          <w:i w:val="0"/>
          <w:sz w:val="20"/>
        </w:rPr>
        <w:t>, Universidad Nacional Autónoma de México, Instituto de Investigaciones Jurídicas, México, 2018.</w:t>
      </w:r>
    </w:p>
    <w:p>
      <w:pPr>
        <w:spacing w:after="60"/>
        <w:ind w:left="360" w:hanging="360"/>
        <w:jc w:val="both"/>
      </w:pPr>
      <w:r>
        <w:rPr>
          <w:rFonts w:ascii="Arial" w:hAnsi="Arial"/>
          <w:i w:val="0"/>
          <w:sz w:val="20"/>
        </w:rPr>
        <w:t xml:space="preserve">HERNÁNDEZ VALLE, Rubén, </w:t>
      </w:r>
      <w:r>
        <w:rPr>
          <w:rFonts w:ascii="Arial" w:hAnsi="Arial"/>
          <w:i/>
          <w:sz w:val="20"/>
        </w:rPr>
        <w:t>Derecho procesal constitucional y derecho convencional</w:t>
      </w:r>
      <w:r>
        <w:rPr>
          <w:rFonts w:ascii="Arial" w:hAnsi="Arial"/>
          <w:i w:val="0"/>
          <w:sz w:val="20"/>
        </w:rPr>
        <w:t>, Instituto de Estudios Constitucionales del Estado de Querétaro, México, 2021.</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