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MEJORAMIENTO DE LA FUNDAMENTACIÓN Y MOTIVACIÓN AL RESOLVER EL RECURSO DE REVOCACIÓN</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adáptalo a tu demanda de nulidad. Antes de llenar nada, pon lado a lado dos documentos: la resolución que negó tu solicitud o determinó el crédito y la resolución que resolvió el recurso de revocación. Subraya en la primera el motivo o los motivos que sostuvieron la decisión, y en la segunda las razones que aparecen por primera vez. Ese contraste es la prueba del vicio, así que transcríbelo con literalidad y no lo parafrasees.</w:t>
      </w:r>
    </w:p>
    <w:p>
      <w:pPr>
        <w:spacing w:line="360" w:lineRule="auto"/>
        <w:jc w:val="both"/>
      </w:pPr>
      <w:r>
        <w:rPr>
          <w:rFonts w:ascii="Arial" w:hAnsi="Arial"/>
          <w:b w:val="0"/>
          <w:i w:val="0"/>
          <w:sz w:val="24"/>
        </w:rPr>
        <w:t>Verifica también que esos motivos nuevos pudieron exponerse desde la emisión del acto, porque en eso descansa el argumento. Después llena los campos editables, revisa que los números de oficio y las fechas coincidan con tus constancias, y acompaña este concepto con los que ataquen el acto recurrido por sus propios fundamentos, que son los que deciden el fondo. Presenta la demanda dentro del plazo de treinta días que fija la Ley Federal de Procedimiento Contencioso Administrativo, contado a partir de que surta efectos la notificación de la resolución impugnada.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[SALA REGIONAL COMPETENTE]</w:t>
      </w:r>
      <w:r>
        <w:rPr>
          <w:rFonts w:ascii="Arial" w:hAnsi="Arial"/>
          <w:b w:val="0"/>
          <w:i w:val="0"/>
          <w:sz w:val="24"/>
        </w:rPr>
        <w:t>: la Sala Regional del Tribunal Federal de Justicia Administrativa que conoce del juicio.</w:t>
      </w:r>
    </w:p>
    <w:p>
      <w:pPr>
        <w:spacing w:line="360" w:lineRule="auto"/>
        <w:jc w:val="both"/>
      </w:pPr>
      <w:r>
        <w:rPr>
          <w:rFonts w:ascii="Arial" w:hAnsi="Arial"/>
          <w:b/>
          <w:i w:val="0"/>
          <w:sz w:val="24"/>
        </w:rPr>
        <w:t>[NOMBRE DE LA PARTE ACTORA]</w:t>
      </w:r>
      <w:r>
        <w:rPr>
          <w:rFonts w:ascii="Arial" w:hAnsi="Arial"/>
          <w:b w:val="0"/>
          <w:i w:val="0"/>
          <w:sz w:val="24"/>
        </w:rPr>
        <w:t>: la persona física o moral que solicitó la devolución y promueve el juicio.</w:t>
      </w:r>
    </w:p>
    <w:p>
      <w:pPr>
        <w:spacing w:line="360" w:lineRule="auto"/>
        <w:jc w:val="both"/>
      </w:pPr>
      <w:r>
        <w:rPr>
          <w:rFonts w:ascii="Arial" w:hAnsi="Arial"/>
          <w:b/>
          <w:i w:val="0"/>
          <w:sz w:val="24"/>
        </w:rPr>
        <w:t>[AUTORIDAD QUE RESOLVIÓ EL RECURSO DE REVOCACIÓN]</w:t>
      </w:r>
      <w:r>
        <w:rPr>
          <w:rFonts w:ascii="Arial" w:hAnsi="Arial"/>
          <w:b w:val="0"/>
          <w:i w:val="0"/>
          <w:sz w:val="24"/>
        </w:rPr>
        <w:t>: la denominación completa de la unidad jurídica que dictó la resolución impugnada.</w:t>
      </w:r>
    </w:p>
    <w:p>
      <w:pPr>
        <w:spacing w:line="360" w:lineRule="auto"/>
        <w:jc w:val="both"/>
      </w:pPr>
      <w:r>
        <w:rPr>
          <w:rFonts w:ascii="Arial" w:hAnsi="Arial"/>
          <w:b/>
          <w:i w:val="0"/>
          <w:sz w:val="24"/>
        </w:rPr>
        <w:t>[NÚMERO Y FECHA DE LA RESOLUCIÓN IMPUGNADA]</w:t>
      </w:r>
      <w:r>
        <w:rPr>
          <w:rFonts w:ascii="Arial" w:hAnsi="Arial"/>
          <w:b w:val="0"/>
          <w:i w:val="0"/>
          <w:sz w:val="24"/>
        </w:rPr>
        <w:t>: el oficio y la fecha de la resolución que resolvió el recurso.</w:t>
      </w:r>
    </w:p>
    <w:p>
      <w:pPr>
        <w:spacing w:line="360" w:lineRule="auto"/>
        <w:jc w:val="both"/>
      </w:pPr>
      <w:r>
        <w:rPr>
          <w:rFonts w:ascii="Arial" w:hAnsi="Arial"/>
          <w:b/>
          <w:i w:val="0"/>
          <w:sz w:val="24"/>
        </w:rPr>
        <w:t>[NÚMERO DEL RECURSO DE REVOCACIÓN]</w:t>
      </w:r>
      <w:r>
        <w:rPr>
          <w:rFonts w:ascii="Arial" w:hAnsi="Arial"/>
          <w:b w:val="0"/>
          <w:i w:val="0"/>
          <w:sz w:val="24"/>
        </w:rPr>
        <w:t>: el número de control con el que se registró tu recurso.</w:t>
      </w:r>
    </w:p>
    <w:p>
      <w:pPr>
        <w:spacing w:line="360" w:lineRule="auto"/>
        <w:jc w:val="both"/>
      </w:pPr>
      <w:r>
        <w:rPr>
          <w:rFonts w:ascii="Arial" w:hAnsi="Arial"/>
          <w:b/>
          <w:i w:val="0"/>
          <w:sz w:val="24"/>
        </w:rPr>
        <w:t>[AUTORIDAD QUE EMITIÓ LA RESOLUCIÓN RECURRIDA]</w:t>
      </w:r>
      <w:r>
        <w:rPr>
          <w:rFonts w:ascii="Arial" w:hAnsi="Arial"/>
          <w:b w:val="0"/>
          <w:i w:val="0"/>
          <w:sz w:val="24"/>
        </w:rPr>
        <w:t>: la autoridad fiscalizadora que negó la devolución o emitió el acto originario.</w:t>
      </w:r>
    </w:p>
    <w:p>
      <w:pPr>
        <w:spacing w:line="360" w:lineRule="auto"/>
        <w:jc w:val="both"/>
      </w:pPr>
      <w:r>
        <w:rPr>
          <w:rFonts w:ascii="Arial" w:hAnsi="Arial"/>
          <w:b/>
          <w:i w:val="0"/>
          <w:sz w:val="24"/>
        </w:rPr>
        <w:t>[NÚMERO Y FECHA DE LA RESOLUCIÓN RECURRIDA]</w:t>
      </w:r>
      <w:r>
        <w:rPr>
          <w:rFonts w:ascii="Arial" w:hAnsi="Arial"/>
          <w:b w:val="0"/>
          <w:i w:val="0"/>
          <w:sz w:val="24"/>
        </w:rPr>
        <w:t>: el oficio y la fecha de esa resolución primigenia.</w:t>
      </w:r>
    </w:p>
    <w:p>
      <w:pPr>
        <w:spacing w:line="360" w:lineRule="auto"/>
        <w:jc w:val="both"/>
      </w:pPr>
      <w:r>
        <w:rPr>
          <w:rFonts w:ascii="Arial" w:hAnsi="Arial"/>
          <w:b/>
          <w:i w:val="0"/>
          <w:sz w:val="24"/>
        </w:rPr>
        <w:t>[CONTRIBUCIÓN Y PERIODO DEL SALDO A FAVOR]</w:t>
      </w:r>
      <w:r>
        <w:rPr>
          <w:rFonts w:ascii="Arial" w:hAnsi="Arial"/>
          <w:b w:val="0"/>
          <w:i w:val="0"/>
          <w:sz w:val="24"/>
        </w:rPr>
        <w:t>: por ejemplo, impuesto al valor agregado del periodo que corresponda.</w:t>
      </w:r>
    </w:p>
    <w:p>
      <w:pPr>
        <w:spacing w:line="360" w:lineRule="auto"/>
        <w:jc w:val="both"/>
      </w:pPr>
      <w:r>
        <w:rPr>
          <w:rFonts w:ascii="Arial" w:hAnsi="Arial"/>
          <w:b/>
          <w:i w:val="0"/>
          <w:sz w:val="24"/>
        </w:rPr>
        <w:t>[MONTO DEL SALDO A FAVOR SOLICITADO]</w:t>
      </w:r>
      <w:r>
        <w:rPr>
          <w:rFonts w:ascii="Arial" w:hAnsi="Arial"/>
          <w:b w:val="0"/>
          <w:i w:val="0"/>
          <w:sz w:val="24"/>
        </w:rPr>
        <w:t>: la cantidad solicitada en devolución, con número y letra.</w:t>
      </w:r>
    </w:p>
    <w:p>
      <w:pPr>
        <w:spacing w:line="360" w:lineRule="auto"/>
        <w:jc w:val="both"/>
      </w:pPr>
      <w:r>
        <w:rPr>
          <w:rFonts w:ascii="Arial" w:hAnsi="Arial"/>
          <w:b/>
          <w:i w:val="0"/>
          <w:sz w:val="24"/>
        </w:rPr>
        <w:t>[MOTIVO ÚNICO DE LA NEGATIVA PRIMIGENIA]</w:t>
      </w:r>
      <w:r>
        <w:rPr>
          <w:rFonts w:ascii="Arial" w:hAnsi="Arial"/>
          <w:b w:val="0"/>
          <w:i w:val="0"/>
          <w:sz w:val="24"/>
        </w:rPr>
        <w:t>: la razón, transcrita, en que descansó el acto recurrido.</w:t>
      </w:r>
    </w:p>
    <w:p>
      <w:pPr>
        <w:spacing w:line="360" w:lineRule="auto"/>
        <w:jc w:val="both"/>
      </w:pPr>
      <w:r>
        <w:rPr>
          <w:rFonts w:ascii="Arial" w:hAnsi="Arial"/>
          <w:b/>
          <w:i w:val="0"/>
          <w:sz w:val="24"/>
        </w:rPr>
        <w:t>[MOTIVOS NUEVOS INTRODUCIDOS AL RESOLVER EL RECURSO]</w:t>
      </w:r>
      <w:r>
        <w:rPr>
          <w:rFonts w:ascii="Arial" w:hAnsi="Arial"/>
          <w:b w:val="0"/>
          <w:i w:val="0"/>
          <w:sz w:val="24"/>
        </w:rPr>
        <w:t>: las razones, transcritas, que sólo aparecen en la resolución del recurso.</w:t>
      </w:r>
    </w:p>
    <w:p>
      <w:pPr>
        <w:spacing w:line="360" w:lineRule="auto"/>
        <w:jc w:val="both"/>
      </w:pPr>
      <w:r>
        <w:rPr>
          <w:rFonts w:ascii="Arial" w:hAnsi="Arial"/>
          <w:b/>
          <w:i w:val="0"/>
          <w:sz w:val="24"/>
        </w:rPr>
        <w:t>[FECHA DE NOTIFICACIÓN DE LA RESOLUCIÓN IMPUGNADA]</w:t>
      </w:r>
      <w:r>
        <w:rPr>
          <w:rFonts w:ascii="Arial" w:hAnsi="Arial"/>
          <w:b w:val="0"/>
          <w:i w:val="0"/>
          <w:sz w:val="24"/>
        </w:rPr>
        <w:t>: la fecha en que se te notificó la resolución del recurso.</w:t>
      </w:r>
    </w:p>
    <w:p>
      <w:pPr>
        <w:spacing w:line="360" w:lineRule="auto"/>
        <w:jc w:val="both"/>
      </w:pPr>
      <w:r>
        <w:rPr>
          <w:rFonts w:ascii="Arial" w:hAnsi="Arial"/>
          <w:b/>
          <w:i w:val="0"/>
          <w:sz w:val="24"/>
        </w:rPr>
        <w:t>[DOCUMENTACIÓN APORTADA EN EL TRÁMITE DE DEVOLUCIÓN]</w:t>
      </w:r>
      <w:r>
        <w:rPr>
          <w:rFonts w:ascii="Arial" w:hAnsi="Arial"/>
          <w:b w:val="0"/>
          <w:i w:val="0"/>
          <w:sz w:val="24"/>
        </w:rPr>
        <w:t>: la relación de escritos, estados de cuenta, auxiliares, balanza, catálogo de cuentas, facturas, contratos y papeles de trabajo que exhibiste.</w:t>
      </w:r>
    </w:p>
    <w:p/>
    <w:p>
      <w:pPr>
        <w:spacing w:line="360" w:lineRule="auto"/>
        <w:jc w:val="both"/>
      </w:pPr>
      <w:r>
        <w:rPr>
          <w:rFonts w:ascii="Arial" w:hAnsi="Arial"/>
          <w:b/>
          <w:sz w:val="28"/>
        </w:rPr>
        <w:t>[NÚMERO ORDINAL DEL CONCEPTO] CONCEPTO DE IMPUGNACIÓN. Ilegalidad de la resolución recaída al recurso de revocación por mejoramiento de la fundamentación y la motivación del acto recurrido. La autoridad resolutora sostuvo la confirmación de la negativa de devolución con motivos que el acto recurrido nunca expresó, con lo que abandonó su función revisora, quebrantó la congruencia del recurso y agravó la situación de la parte recurrente, lo que actualiza las causales de ilegalidad del artículo 51 de la Ley Federal de Procedimiento Contencioso Administrativo.</w:t>
      </w:r>
    </w:p>
    <w:p>
      <w:pPr>
        <w:spacing w:line="360" w:lineRule="auto"/>
        <w:jc w:val="both"/>
      </w:pPr>
      <w:r>
        <w:rPr>
          <w:rFonts w:ascii="Arial" w:hAnsi="Arial"/>
          <w:b/>
          <w:sz w:val="28"/>
        </w:rPr>
        <w:t>I. Síntesis del concepto de impugnación.</w:t>
      </w:r>
    </w:p>
    <w:p>
      <w:pPr>
        <w:spacing w:line="360" w:lineRule="auto"/>
        <w:jc w:val="both"/>
      </w:pPr>
      <w:r>
        <w:rPr>
          <w:rFonts w:ascii="Arial" w:hAnsi="Arial"/>
          <w:b w:val="0"/>
          <w:i w:val="0"/>
          <w:sz w:val="28"/>
        </w:rPr>
        <w:t xml:space="preserve">En este apartado se demostrará que la resolución contenida en el oficio </w:t>
      </w:r>
      <w:r>
        <w:rPr>
          <w:rFonts w:ascii="Arial" w:hAnsi="Arial"/>
          <w:b/>
          <w:i w:val="0"/>
          <w:sz w:val="28"/>
        </w:rPr>
        <w:t>[NÚMERO Y FECHA DE LA RESOLUCIÓN IMPUGNADA]</w:t>
      </w:r>
      <w:r>
        <w:rPr>
          <w:rFonts w:ascii="Arial" w:hAnsi="Arial"/>
          <w:b w:val="0"/>
          <w:i w:val="0"/>
          <w:sz w:val="28"/>
        </w:rPr>
        <w:t xml:space="preserve">, emitida por la </w:t>
      </w:r>
      <w:r>
        <w:rPr>
          <w:rFonts w:ascii="Arial" w:hAnsi="Arial"/>
          <w:b/>
          <w:i w:val="0"/>
          <w:sz w:val="28"/>
        </w:rPr>
        <w:t>[AUTORIDAD QUE RESOLVIÓ EL RECURSO DE REVOCACIÓN]</w:t>
      </w:r>
      <w:r>
        <w:rPr>
          <w:rFonts w:ascii="Arial" w:hAnsi="Arial"/>
          <w:b w:val="0"/>
          <w:i w:val="0"/>
          <w:sz w:val="28"/>
        </w:rPr>
        <w:t xml:space="preserve"> al resolver el recurso de revocación </w:t>
      </w:r>
      <w:r>
        <w:rPr>
          <w:rFonts w:ascii="Arial" w:hAnsi="Arial"/>
          <w:b/>
          <w:i w:val="0"/>
          <w:sz w:val="28"/>
        </w:rPr>
        <w:t>[NÚMERO DEL RECURSO DE REVOCACIÓN]</w:t>
      </w:r>
      <w:r>
        <w:rPr>
          <w:rFonts w:ascii="Arial" w:hAnsi="Arial"/>
          <w:b w:val="0"/>
          <w:i w:val="0"/>
          <w:sz w:val="28"/>
        </w:rPr>
        <w:t>, es ilegal porque, en lugar de revisar la negativa de devolución tal como fue emitida, la perfeccionó: incorporó razones que el acto recurrido jamás consignó y sobre ellas edificó su confirmación.</w:t>
      </w:r>
    </w:p>
    <w:p>
      <w:pPr>
        <w:spacing w:line="360" w:lineRule="auto"/>
        <w:jc w:val="both"/>
      </w:pPr>
      <w:r>
        <w:rPr>
          <w:rFonts w:ascii="Arial" w:hAnsi="Arial"/>
          <w:b w:val="0"/>
          <w:i w:val="0"/>
          <w:sz w:val="28"/>
        </w:rPr>
        <w:t>La premisa es sencilla y de estricto derecho. Cuando una autoridad administrativa resuelve un recurso no actúa como emisora, sino como revisora; su tarea consiste en examinar el acto con los fundamentos y los motivos que efectivamente contiene, contrastarlos con los agravios y, según el resultado, confirmarlo o revocarlo. Lo que no puede hacer es aprovechar el medio de defensa que la ley instituyó a favor de la persona contribuyente para corregir en él los errores de su propia administración.</w:t>
      </w:r>
    </w:p>
    <w:p>
      <w:pPr>
        <w:spacing w:line="360" w:lineRule="auto"/>
        <w:jc w:val="both"/>
      </w:pPr>
      <w:r>
        <w:rPr>
          <w:rFonts w:ascii="Arial" w:hAnsi="Arial"/>
          <w:b w:val="0"/>
          <w:i w:val="0"/>
          <w:sz w:val="28"/>
        </w:rPr>
        <w:t xml:space="preserve">El vicio no es una imperfección menor. La negativa de devolución del saldo a favor de </w:t>
      </w:r>
      <w:r>
        <w:rPr>
          <w:rFonts w:ascii="Arial" w:hAnsi="Arial"/>
          <w:b/>
          <w:i w:val="0"/>
          <w:sz w:val="28"/>
        </w:rPr>
        <w:t>[CONTRIBUCIÓN Y PERIODO DEL SALDO A FAVOR]</w:t>
      </w:r>
      <w:r>
        <w:rPr>
          <w:rFonts w:ascii="Arial" w:hAnsi="Arial"/>
          <w:b w:val="0"/>
          <w:i w:val="0"/>
          <w:sz w:val="28"/>
        </w:rPr>
        <w:t xml:space="preserve">, por </w:t>
      </w:r>
      <w:r>
        <w:rPr>
          <w:rFonts w:ascii="Arial" w:hAnsi="Arial"/>
          <w:b/>
          <w:i w:val="0"/>
          <w:sz w:val="28"/>
        </w:rPr>
        <w:t>[MONTO DEL SALDO A FAVOR SOLICITADO]</w:t>
      </w:r>
      <w:r>
        <w:rPr>
          <w:rFonts w:ascii="Arial" w:hAnsi="Arial"/>
          <w:b w:val="0"/>
          <w:i w:val="0"/>
          <w:sz w:val="28"/>
        </w:rPr>
        <w:t xml:space="preserve">, descansó exclusivamente en </w:t>
      </w:r>
      <w:r>
        <w:rPr>
          <w:rFonts w:ascii="Arial" w:hAnsi="Arial"/>
          <w:b/>
          <w:i w:val="0"/>
          <w:sz w:val="28"/>
        </w:rPr>
        <w:t>[MOTIVO ÚNICO DE LA NEGATIVA PRIMIGENIA]</w:t>
      </w:r>
      <w:r>
        <w:rPr>
          <w:rFonts w:ascii="Arial" w:hAnsi="Arial"/>
          <w:b w:val="0"/>
          <w:i w:val="0"/>
          <w:sz w:val="28"/>
        </w:rPr>
        <w:t xml:space="preserve">; al resolver el recurso, la autoridad añadió </w:t>
      </w:r>
      <w:r>
        <w:rPr>
          <w:rFonts w:ascii="Arial" w:hAnsi="Arial"/>
          <w:b/>
          <w:i w:val="0"/>
          <w:sz w:val="28"/>
        </w:rPr>
        <w:t>[MOTIVOS NUEVOS INTRODUCIDOS AL RESOLVER EL RECURSO]</w:t>
      </w:r>
      <w:r>
        <w:rPr>
          <w:rFonts w:ascii="Arial" w:hAnsi="Arial"/>
          <w:b w:val="0"/>
          <w:i w:val="0"/>
          <w:sz w:val="28"/>
        </w:rPr>
        <w:t>, razones que válidamente pudieron exponerse desde la resolución primigenia, pues desde entonces la autoridad fiscalizadora tuvo a la vista el mismo documento y el mismo expediente.</w:t>
      </w:r>
    </w:p>
    <w:p>
      <w:pPr>
        <w:spacing w:line="360" w:lineRule="auto"/>
        <w:jc w:val="both"/>
      </w:pPr>
      <w:r>
        <w:rPr>
          <w:rFonts w:ascii="Arial" w:hAnsi="Arial"/>
          <w:b w:val="0"/>
          <w:i w:val="0"/>
          <w:sz w:val="28"/>
        </w:rPr>
        <w:t>Si la premisa se respeta, la conclusión es forzosa: procede declarar la nulidad de la resolución impugnada, sin reenvío alguno a la autoridad que resolvió el recurso, y analizar enseguida la resolución recurrida por sus propios fundamentos y motivos, conforme al principio de litis abierta previsto en el último párrafo del artículo 1 de la Ley Federal de Procedimiento Contencioso Administrativo.</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Las resoluciones controvertidas son dos y se combaten de manera simultánea. La primera es la contenida en el oficio </w:t>
      </w:r>
      <w:r>
        <w:rPr>
          <w:rFonts w:ascii="Arial" w:hAnsi="Arial"/>
          <w:b/>
          <w:i w:val="0"/>
          <w:sz w:val="28"/>
        </w:rPr>
        <w:t>[NÚMERO Y FECHA DE LA RESOLUCIÓN IMPUGNADA]</w:t>
      </w:r>
      <w:r>
        <w:rPr>
          <w:rFonts w:ascii="Arial" w:hAnsi="Arial"/>
          <w:b w:val="0"/>
          <w:i w:val="0"/>
          <w:sz w:val="28"/>
        </w:rPr>
        <w:t xml:space="preserve">, que resolvió el recurso de revocación confirmando la negativa. La segunda es la contenida en el oficio </w:t>
      </w:r>
      <w:r>
        <w:rPr>
          <w:rFonts w:ascii="Arial" w:hAnsi="Arial"/>
          <w:b/>
          <w:i w:val="0"/>
          <w:sz w:val="28"/>
        </w:rPr>
        <w:t>[NÚMERO Y FECHA DE LA RESOLUCIÓN RECURRIDA]</w:t>
      </w:r>
      <w:r>
        <w:rPr>
          <w:rFonts w:ascii="Arial" w:hAnsi="Arial"/>
          <w:b w:val="0"/>
          <w:i w:val="0"/>
          <w:sz w:val="28"/>
        </w:rPr>
        <w:t xml:space="preserve">, emitida por la </w:t>
      </w:r>
      <w:r>
        <w:rPr>
          <w:rFonts w:ascii="Arial" w:hAnsi="Arial"/>
          <w:b/>
          <w:i w:val="0"/>
          <w:sz w:val="28"/>
        </w:rPr>
        <w:t>[AUTORIDAD QUE EMITIÓ LA RESOLUCIÓN RECURRIDA]</w:t>
      </w:r>
      <w:r>
        <w:rPr>
          <w:rFonts w:ascii="Arial" w:hAnsi="Arial"/>
          <w:b w:val="0"/>
          <w:i w:val="0"/>
          <w:sz w:val="28"/>
        </w:rPr>
        <w:t xml:space="preserve">, por la que se negó a </w:t>
      </w:r>
      <w:r>
        <w:rPr>
          <w:rFonts w:ascii="Arial" w:hAnsi="Arial"/>
          <w:b/>
          <w:i w:val="0"/>
          <w:sz w:val="28"/>
        </w:rPr>
        <w:t>[NOMBRE DE LA PARTE ACTORA]</w:t>
      </w:r>
      <w:r>
        <w:rPr>
          <w:rFonts w:ascii="Arial" w:hAnsi="Arial"/>
          <w:b w:val="0"/>
          <w:i w:val="0"/>
          <w:sz w:val="28"/>
        </w:rPr>
        <w:t xml:space="preserve"> la devolución del saldo a favor solicitado.</w:t>
      </w:r>
    </w:p>
    <w:p>
      <w:pPr>
        <w:spacing w:line="360" w:lineRule="auto"/>
        <w:jc w:val="both"/>
      </w:pPr>
      <w:r>
        <w:rPr>
          <w:rFonts w:ascii="Arial" w:hAnsi="Arial"/>
          <w:b w:val="0"/>
          <w:i w:val="0"/>
          <w:sz w:val="28"/>
        </w:rPr>
        <w:t xml:space="preserve">La impugnación conjunta encuentra apoyo en el principio de litis abierta. Conforme al último párrafo del artículo 1 de la Ley Federal de Procedimiento Contencioso Administrativo, cuando la resolución recaída a un recurso administrativo no satisface el interés jurídico de quien lo promovió y ésta se controvierte, se entiende impugnada simultáneamente la resolución recurrida en la parte que continúa afectando, de modo que pueden hacerse valer conceptos de impugnación novedosos o reiterativos, y esa </w:t>
      </w:r>
      <w:r>
        <w:rPr>
          <w:rFonts w:ascii="Arial" w:hAnsi="Arial"/>
          <w:b/>
          <w:i w:val="0"/>
          <w:sz w:val="28"/>
        </w:rPr>
        <w:t>[SALA REGIONAL COMPETENTE]</w:t>
      </w:r>
      <w:r>
        <w:rPr>
          <w:rFonts w:ascii="Arial" w:hAnsi="Arial"/>
          <w:b w:val="0"/>
          <w:i w:val="0"/>
          <w:sz w:val="28"/>
        </w:rPr>
        <w:t xml:space="preserve"> está obligada a estudiarlos.</w:t>
      </w:r>
    </w:p>
    <w:p>
      <w:pPr>
        <w:spacing w:line="360" w:lineRule="auto"/>
        <w:jc w:val="both"/>
      </w:pPr>
      <w:r>
        <w:rPr>
          <w:rFonts w:ascii="Arial" w:hAnsi="Arial"/>
          <w:b w:val="0"/>
          <w:i w:val="0"/>
          <w:sz w:val="28"/>
        </w:rPr>
        <w:t>Las normas cuya inobservancia se plantea son el artículo 16 de la Constitución Política de los Estados Unidos Mexicanos, que exige que todo acto de molestia funde y motive la causa legal del procedimiento; el artículo 38, fracción IV, del Código Fiscal de la Federación, que traslada esa exigencia a los actos administrativos que deban notificarse; los artículos 132, 133 y 133-A, inciso b), del mismo código, que rigen la resolución del recurso de revocación; y el artículo 22 de ese ordenamiento, que gobierna el trámite de devolución.</w:t>
      </w:r>
    </w:p>
    <w:p>
      <w:pPr>
        <w:spacing w:line="360" w:lineRule="auto"/>
        <w:jc w:val="both"/>
      </w:pPr>
      <w:r>
        <w:rPr>
          <w:rFonts w:ascii="Arial" w:hAnsi="Arial"/>
          <w:b w:val="0"/>
          <w:i w:val="0"/>
          <w:sz w:val="28"/>
        </w:rPr>
        <w:t xml:space="preserve">El perjuicio es concreto y verificable. Notificada la resolución impugnada el </w:t>
      </w:r>
      <w:r>
        <w:rPr>
          <w:rFonts w:ascii="Arial" w:hAnsi="Arial"/>
          <w:b/>
          <w:i w:val="0"/>
          <w:sz w:val="28"/>
        </w:rPr>
        <w:t>[FECHA DE NOTIFICACIÓN DE LA RESOLUCIÓN IMPUGNADA]</w:t>
      </w:r>
      <w:r>
        <w:rPr>
          <w:rFonts w:ascii="Arial" w:hAnsi="Arial"/>
          <w:b w:val="0"/>
          <w:i w:val="0"/>
          <w:sz w:val="28"/>
        </w:rPr>
        <w:t>, la parte actora vino a conocer las razones verdaderas de la negativa cuando la instancia administrativa ya estaba agotada, de manera que no tuvo oportunidad de combatirlas ante la propia administración; y quedó firme, con una motivación construida a posteriori, el rechazo de un saldo a favor cuyo destino patrimonial es cierto.</w:t>
      </w:r>
    </w:p>
    <w:p>
      <w:pPr>
        <w:spacing w:line="360" w:lineRule="auto"/>
        <w:jc w:val="both"/>
      </w:pPr>
      <w:r>
        <w:rPr>
          <w:rFonts w:ascii="Arial" w:hAnsi="Arial"/>
          <w:b w:val="0"/>
          <w:i w:val="0"/>
          <w:sz w:val="28"/>
        </w:rPr>
        <w:t>La pretensión de este concepto es doble: que se declare la nulidad de la resolución impugnada por el vicio que aquí se expone y que, acreditado el mejoramiento, esa Sala proceda al análisis de la resolución recurrida por sus propios fundamentos y motivos, para declarar también su nulidad si resulta ilegal. Se solicita el estudio preferente de este concepto en términos del artículo 50 de la Ley Federal de Procedimiento Contencioso Administrativo, por ser el que reporta mayor beneficio.</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Conviene partir de la naturaleza del recurso administrativo. La doctrina lo describe como un medio de impugnación y de defensa legal con que cuentan los gobernados frente al acto administrativo que lesiona sus intereses.</w:t>
      </w:r>
      <w:r>
        <w:rPr>
          <w:rFonts w:ascii="Arial" w:hAnsi="Arial"/>
          <w:vertAlign w:val="superscript"/>
        </w:rPr>
        <w:t>1</w:t>
      </w:r>
      <w:r>
        <w:rPr>
          <w:rFonts w:ascii="Arial" w:hAnsi="Arial"/>
          <w:b w:val="0"/>
          <w:i w:val="0"/>
          <w:sz w:val="28"/>
        </w:rPr>
        <w:t xml:space="preserve"> Se trata, por tanto, de un instrumento creado en beneficio de la persona afectada, y no de una segunda oportunidad procesal a favor de la administración que emitió el acto.</w:t>
      </w:r>
    </w:p>
    <w:p>
      <w:pPr>
        <w:spacing w:line="360" w:lineRule="auto"/>
        <w:jc w:val="both"/>
      </w:pPr>
      <w:r>
        <w:rPr>
          <w:rFonts w:ascii="Arial" w:hAnsi="Arial"/>
          <w:b w:val="0"/>
          <w:i w:val="0"/>
          <w:sz w:val="28"/>
        </w:rPr>
        <w:t>De esa naturaleza se desprende la función que corresponde a quien lo resuelve. Se ha precisado que el recurso administrativo no implica el ejercicio de una función jurisdiccional, pues en él no existe un órgano independiente ante el que se dirima una controversia, sino que se trata de un mero control interno de legalidad de la propia administración.</w:t>
      </w:r>
      <w:r>
        <w:rPr>
          <w:rFonts w:ascii="Arial" w:hAnsi="Arial"/>
          <w:vertAlign w:val="superscript"/>
        </w:rPr>
        <w:t>2</w:t>
      </w:r>
      <w:r>
        <w:rPr>
          <w:rFonts w:ascii="Arial" w:hAnsi="Arial"/>
          <w:b w:val="0"/>
          <w:i w:val="0"/>
          <w:sz w:val="28"/>
        </w:rPr>
        <w:t xml:space="preserve"> Un control de legalidad opera sobre un objeto ya definido: el acto tal como fue emitido, con los fundamentos y los motivos que consignó.</w:t>
      </w:r>
    </w:p>
    <w:p>
      <w:pPr>
        <w:spacing w:line="360" w:lineRule="auto"/>
        <w:jc w:val="both"/>
      </w:pPr>
      <w:r>
        <w:rPr>
          <w:rFonts w:ascii="Arial" w:hAnsi="Arial"/>
          <w:b w:val="0"/>
          <w:i w:val="0"/>
          <w:sz w:val="28"/>
        </w:rPr>
        <w:t>La exigencia constitucional confirma esa lectura. El artículo 16 de la Constitución Política de los Estados Unidos Mexicanos condiciona todo acto de molestia a que la autoridad competente funde y motive la causa legal del procedimiento, y el artículo 38, fracción IV, del Código Fiscal de la Federación reitera ese deber para los actos administrativos que deban notificarse. La motivación es, así, un elemento constitutivo del acto y no un accesorio que pueda añadirse cuando ya se le combate.</w:t>
      </w:r>
    </w:p>
    <w:p>
      <w:pPr>
        <w:spacing w:line="360" w:lineRule="auto"/>
        <w:jc w:val="both"/>
      </w:pPr>
      <w:r>
        <w:rPr>
          <w:rFonts w:ascii="Arial" w:hAnsi="Arial"/>
          <w:b w:val="0"/>
          <w:i w:val="0"/>
          <w:sz w:val="28"/>
        </w:rPr>
        <w:t>La doctrina explica por qué. La función endoprocesal de la motivación consiste en hacer que las partes se den cuenta con claridad del significado de la decisión, especialmente ante la eventualidad de una impugnación, y en permitir que quien conoce de esa impugnación valore de manera adecuada el fundamento de la decisión impugnada.</w:t>
      </w:r>
      <w:r>
        <w:rPr>
          <w:rFonts w:ascii="Arial" w:hAnsi="Arial"/>
          <w:vertAlign w:val="superscript"/>
        </w:rPr>
        <w:t>3</w:t>
      </w:r>
      <w:r>
        <w:rPr>
          <w:rFonts w:ascii="Arial" w:hAnsi="Arial"/>
          <w:b w:val="0"/>
          <w:i w:val="0"/>
          <w:sz w:val="28"/>
        </w:rPr>
        <w:t xml:space="preserve"> Si las razones verdaderas del acto aparecen apenas al resolverse el recurso, ambas funciones se frustran a la vez.</w:t>
      </w:r>
    </w:p>
    <w:p>
      <w:pPr>
        <w:spacing w:line="360" w:lineRule="auto"/>
        <w:jc w:val="both"/>
      </w:pPr>
      <w:r>
        <w:rPr>
          <w:rFonts w:ascii="Arial" w:hAnsi="Arial"/>
          <w:b w:val="0"/>
          <w:i w:val="0"/>
          <w:sz w:val="28"/>
        </w:rPr>
        <w:t>A ello se suma que la motivación debe ser completa, de modo que todas las decisiones parciales adoptadas queden reflejadas en ella.</w:t>
      </w:r>
      <w:r>
        <w:rPr>
          <w:rFonts w:ascii="Arial" w:hAnsi="Arial"/>
          <w:vertAlign w:val="superscript"/>
        </w:rPr>
        <w:t>4</w:t>
      </w:r>
      <w:r>
        <w:rPr>
          <w:rFonts w:ascii="Arial" w:hAnsi="Arial"/>
          <w:b w:val="0"/>
          <w:i w:val="0"/>
          <w:sz w:val="28"/>
        </w:rPr>
        <w:t xml:space="preserve"> Un acto que reserva parte de sus razones para exponerlas cuando ya está siendo combatido no es un acto simplemente escueto que después se aclara: es un acto que nació incompleto, y esa insuficiencia originaria no se sana por la vía de la reposición retórica en la resolución del recurso.</w:t>
      </w:r>
    </w:p>
    <w:p>
      <w:pPr>
        <w:spacing w:line="360" w:lineRule="auto"/>
        <w:jc w:val="both"/>
      </w:pPr>
      <w:r>
        <w:rPr>
          <w:rFonts w:ascii="Arial" w:hAnsi="Arial"/>
          <w:b w:val="0"/>
          <w:i w:val="0"/>
          <w:sz w:val="28"/>
        </w:rPr>
        <w:t>En el plano legal, la respuesta es igualmente clara. De la lectura conjunta y armónica de los artículos 132, 133 y 133-A, inciso b), del Código Fiscal de la Federación se obtiene que la resolución del recurso de revocación se funda en derecho y debe abordar todas las cuestiones planteadas por la parte recurrente, con las excepciones que la propia ley establece; de ninguno de esos preceptos se desprende facultad alguna para mejorar la fundamentación o la motivación del acto recurrido, y donde no hay facultad expresa la autoridad simplemente no puede actuar.</w:t>
      </w:r>
    </w:p>
    <w:p>
      <w:pPr>
        <w:spacing w:line="360" w:lineRule="auto"/>
        <w:jc w:val="both"/>
      </w:pPr>
      <w:r>
        <w:rPr>
          <w:rFonts w:ascii="Arial" w:hAnsi="Arial"/>
          <w:b w:val="0"/>
          <w:i w:val="0"/>
          <w:sz w:val="28"/>
        </w:rPr>
        <w:t xml:space="preserve">El resultado sería, además, incongruente. El recurso de revocación se promueve con una pretensión definida —que el acto se revoque o se modifique en forma favorable—, de suerte que una resolución que lo confirma apoyándose en razones más gravosas que las del propio acto contraría esa pretensión y contraviene la prohibición de </w:t>
      </w:r>
      <w:r>
        <w:rPr>
          <w:rFonts w:ascii="Arial" w:hAnsi="Arial"/>
          <w:b w:val="0"/>
          <w:i/>
          <w:sz w:val="28"/>
        </w:rPr>
        <w:t>«non reformatio in peius»</w:t>
      </w:r>
      <w:r>
        <w:rPr>
          <w:rFonts w:ascii="Arial" w:hAnsi="Arial"/>
          <w:b w:val="0"/>
          <w:i w:val="0"/>
          <w:sz w:val="28"/>
        </w:rPr>
        <w:t>.</w:t>
      </w:r>
    </w:p>
    <w:p>
      <w:pPr>
        <w:spacing w:line="360" w:lineRule="auto"/>
        <w:jc w:val="both"/>
      </w:pPr>
      <w:r>
        <w:rPr>
          <w:rFonts w:ascii="Arial" w:hAnsi="Arial"/>
          <w:b w:val="0"/>
          <w:i w:val="0"/>
          <w:sz w:val="28"/>
        </w:rPr>
        <w:t>El reproche se acentúa si se atiende a que el artículo 1o. de la Constitución Política de los Estados Unidos Mexicanos impone a todas las autoridades, en el ámbito de sus competencias, la obligación de promover, respetar, proteger y garantizar los derechos humanos, de modo que la instancia a la que la persona afectada acude a defenderse no puede volverse en su contra.</w:t>
      </w:r>
    </w:p>
    <w:p>
      <w:pPr>
        <w:spacing w:line="360" w:lineRule="auto"/>
        <w:jc w:val="both"/>
      </w:pPr>
      <w:r>
        <w:rPr>
          <w:rFonts w:ascii="Arial" w:hAnsi="Arial"/>
          <w:b w:val="0"/>
          <w:i w:val="0"/>
          <w:sz w:val="28"/>
        </w:rPr>
        <w:t>Esa es la razón por la que, como el Tribunal Federal de Justicia Administrativa lo ha sostenido al resolver asuntos análogos, la autoridad que conoce del recurso debe circunscribirse a analizar los motivos y los fundamentos de la resolución recurrida frente a los agravios y resolver su confirmación o su revocación, sin que la instancia administrativa pueda convertirse en la ocasión para que la administración, aprovechando los argumentos del particular, perfeccione los actos sometidos a su revisión. Su actividad se agota en la revisión, no en el mejoramiento.</w:t>
      </w:r>
    </w:p>
    <w:p>
      <w:pPr>
        <w:spacing w:line="360" w:lineRule="auto"/>
        <w:jc w:val="both"/>
      </w:pPr>
      <w:r>
        <w:rPr>
          <w:rFonts w:ascii="Arial" w:hAnsi="Arial"/>
          <w:b w:val="0"/>
          <w:i w:val="0"/>
          <w:sz w:val="28"/>
        </w:rPr>
        <w:t>Acreditado el mejoramiento, la consecuencia procesal está trazada. Procede declarar la nulidad de la resolución del recurso y, enseguida, analizar la resolución recurrida por sus propios fundamentos y motivos para declarar también su nulidad si resulta ilegal, con apoyo en los artículos 51, fracciones II y IV, y 52, fracciones II y IV, de la Ley Federal de Procedimiento Contencioso Administrativo.</w:t>
      </w:r>
    </w:p>
    <w:p>
      <w:pPr>
        <w:spacing w:line="360" w:lineRule="auto"/>
        <w:jc w:val="both"/>
      </w:pPr>
      <w:r>
        <w:rPr>
          <w:rFonts w:ascii="Arial" w:hAnsi="Arial"/>
          <w:b/>
          <w:sz w:val="28"/>
        </w:rPr>
        <w:t>IV. Aplicación al caso concreto y refutación de la motivación de la autoridad.</w:t>
      </w:r>
    </w:p>
    <w:p>
      <w:pPr>
        <w:spacing w:line="360" w:lineRule="auto"/>
        <w:jc w:val="both"/>
      </w:pPr>
      <w:r>
        <w:rPr>
          <w:rFonts w:ascii="Arial" w:hAnsi="Arial"/>
          <w:b w:val="0"/>
          <w:i w:val="0"/>
          <w:sz w:val="28"/>
        </w:rPr>
        <w:t xml:space="preserve">El contraste entre ambos actos es el corazón de este concepto y conviene hacerlo con precisión. La resolución recurrida negó la devolución con un motivo único: </w:t>
      </w:r>
      <w:r>
        <w:rPr>
          <w:rFonts w:ascii="Arial" w:hAnsi="Arial"/>
          <w:b/>
          <w:i w:val="0"/>
          <w:sz w:val="28"/>
        </w:rPr>
        <w:t>[MOTIVO ÚNICO DE LA NEGATIVA PRIMIGENIA]</w:t>
      </w:r>
      <w:r>
        <w:rPr>
          <w:rFonts w:ascii="Arial" w:hAnsi="Arial"/>
          <w:b w:val="0"/>
          <w:i w:val="0"/>
          <w:sz w:val="28"/>
        </w:rPr>
        <w:t>. Ése fue el solo obstáculo que la autoridad fiscalizadora opuso a la solicitud y, por consiguiente, el único que la parte actora estuvo en aptitud de combatir en el recurso de revocación, pues nadie puede defenderse de razones que no se le han expresado.</w:t>
      </w:r>
    </w:p>
    <w:p>
      <w:pPr>
        <w:spacing w:line="360" w:lineRule="auto"/>
        <w:jc w:val="both"/>
      </w:pPr>
      <w:r>
        <w:rPr>
          <w:rFonts w:ascii="Arial" w:hAnsi="Arial"/>
          <w:b w:val="0"/>
          <w:i w:val="0"/>
          <w:sz w:val="28"/>
        </w:rPr>
        <w:t xml:space="preserve">Al resolver el recurso, en cambio, la autoridad sostuvo la confirmación con </w:t>
      </w:r>
      <w:r>
        <w:rPr>
          <w:rFonts w:ascii="Arial" w:hAnsi="Arial"/>
          <w:b/>
          <w:i w:val="0"/>
          <w:sz w:val="28"/>
        </w:rPr>
        <w:t>[MOTIVOS NUEVOS INTRODUCIDOS AL RESOLVER EL RECURSO]</w:t>
      </w:r>
      <w:r>
        <w:rPr>
          <w:rFonts w:ascii="Arial" w:hAnsi="Arial"/>
          <w:b w:val="0"/>
          <w:i w:val="0"/>
          <w:sz w:val="28"/>
        </w:rPr>
        <w:t xml:space="preserve">. Ninguno de esos señalamientos aparece en el acto recurrido, y todos ellos pudieron formularse desde su emisión, ya que la autoridad fiscalizadora analizó entonces ese mismo material y contó con la documentación que se acompañó a la solicitud y al requerimiento, a saber, </w:t>
      </w:r>
      <w:r>
        <w:rPr>
          <w:rFonts w:ascii="Arial" w:hAnsi="Arial"/>
          <w:b/>
          <w:i w:val="0"/>
          <w:sz w:val="28"/>
        </w:rPr>
        <w:t>[DOCUMENTACIÓN APORTADA EN EL TRÁMITE DE DEVOLUCIÓN]</w:t>
      </w:r>
      <w:r>
        <w:rPr>
          <w:rFonts w:ascii="Arial" w:hAnsi="Arial"/>
          <w:b w:val="0"/>
          <w:i w:val="0"/>
          <w:sz w:val="28"/>
        </w:rPr>
        <w:t>.</w:t>
      </w:r>
    </w:p>
    <w:p>
      <w:pPr>
        <w:spacing w:line="360" w:lineRule="auto"/>
        <w:jc w:val="both"/>
      </w:pPr>
      <w:r>
        <w:rPr>
          <w:rFonts w:ascii="Arial" w:hAnsi="Arial"/>
          <w:b w:val="0"/>
          <w:i w:val="0"/>
          <w:sz w:val="28"/>
        </w:rPr>
        <w:t>La subsunción es directa. La resolutora dejó de revisar y se puso a emitir: fijó motivos propios, distintos de los del acto sometido a su control, y con ellos suplió la insuficiencia de la negativa. Con esa conducta rebasó el ámbito de un mero control interno de legalidad, transformó un medio de defensa establecido a favor de la persona contribuyente en una nueva oportunidad de la administración para corregir sus errores y agravó, de paso, la situación de quien acudió al recurso confiando en obtener un beneficio.</w:t>
      </w:r>
    </w:p>
    <w:p>
      <w:pPr>
        <w:spacing w:line="360" w:lineRule="auto"/>
        <w:jc w:val="both"/>
      </w:pPr>
      <w:r>
        <w:rPr>
          <w:rFonts w:ascii="Arial" w:hAnsi="Arial"/>
          <w:b w:val="0"/>
          <w:i w:val="0"/>
          <w:sz w:val="28"/>
        </w:rPr>
        <w:t xml:space="preserve">Ese proceder es, además, lógicamente inválido, y conviene nombrar el error. En primer lugar, incurre en la falacia de </w:t>
      </w:r>
      <w:r>
        <w:rPr>
          <w:rFonts w:ascii="Arial" w:hAnsi="Arial"/>
          <w:b w:val="0"/>
          <w:i/>
          <w:sz w:val="28"/>
        </w:rPr>
        <w:t>«ignoratio elenchi»</w:t>
      </w:r>
      <w:r>
        <w:rPr>
          <w:rFonts w:ascii="Arial" w:hAnsi="Arial"/>
          <w:b w:val="0"/>
          <w:i w:val="0"/>
          <w:sz w:val="28"/>
        </w:rPr>
        <w:t>, que se comete cuando se abandona la cuestión que está en litigio para introducir otro debate distinto.</w:t>
      </w:r>
      <w:r>
        <w:rPr>
          <w:rFonts w:ascii="Arial" w:hAnsi="Arial"/>
          <w:vertAlign w:val="superscript"/>
        </w:rPr>
        <w:t>5</w:t>
      </w:r>
      <w:r>
        <w:rPr>
          <w:rFonts w:ascii="Arial" w:hAnsi="Arial"/>
          <w:b w:val="0"/>
          <w:i w:val="0"/>
          <w:sz w:val="28"/>
        </w:rPr>
        <w:t xml:space="preserve"> La cuestión debatida en el recurso era si el motivo expresado en la negativa la sostenía; la autoridad no la respondió, sino que cambió de tema y demostró algo diverso: que la negativa podría sostenerse en otras razones.</w:t>
      </w:r>
    </w:p>
    <w:p>
      <w:pPr>
        <w:spacing w:line="360" w:lineRule="auto"/>
        <w:jc w:val="both"/>
      </w:pPr>
      <w:r>
        <w:rPr>
          <w:rFonts w:ascii="Arial" w:hAnsi="Arial"/>
          <w:b w:val="0"/>
          <w:i w:val="0"/>
          <w:sz w:val="28"/>
        </w:rPr>
        <w:t>La diferencia no es retórica. Probar que un acto pudo haberse motivado de otro modo no prueba que el acto, tal como fue emitido, sea legal; son proposiciones distintas y sólo la segunda estaba en debate. El razonamiento correcto exigía examinar el motivo realmente expresado, medirlo frente a los agravios y concluir si resistía o no la objeción; cualquier conclusión sobre motivos ausentes es, por definición, ajena a la litis del recurso.</w:t>
      </w:r>
    </w:p>
    <w:p>
      <w:pPr>
        <w:spacing w:line="360" w:lineRule="auto"/>
        <w:jc w:val="both"/>
      </w:pPr>
      <w:r>
        <w:rPr>
          <w:rFonts w:ascii="Arial" w:hAnsi="Arial"/>
          <w:b w:val="0"/>
          <w:i w:val="0"/>
          <w:sz w:val="28"/>
        </w:rPr>
        <w:t>En segundo lugar, la defensa que suele oponerse a este planteamiento incurre en petición de principio, falacia que consiste en postular o sentar aquello mismo que es preciso demostrar.</w:t>
      </w:r>
      <w:r>
        <w:rPr>
          <w:rFonts w:ascii="Arial" w:hAnsi="Arial"/>
          <w:vertAlign w:val="superscript"/>
        </w:rPr>
        <w:t>6</w:t>
      </w:r>
      <w:r>
        <w:rPr>
          <w:rFonts w:ascii="Arial" w:hAnsi="Arial"/>
          <w:b w:val="0"/>
          <w:i w:val="0"/>
          <w:sz w:val="28"/>
        </w:rPr>
        <w:t xml:space="preserve"> Cuando la autoridad afirma que su resolución está debidamente fundada y motivada porque satisface el artículo 38, fracción IV, del Código Fiscal de la Federación, toma como premisa la conclusión que debía acreditar, sin hacerse cargo del reproche concreto que se le formula.</w:t>
      </w:r>
    </w:p>
    <w:p>
      <w:pPr>
        <w:spacing w:line="360" w:lineRule="auto"/>
        <w:jc w:val="both"/>
      </w:pPr>
      <w:r>
        <w:rPr>
          <w:rFonts w:ascii="Arial" w:hAnsi="Arial"/>
          <w:b w:val="0"/>
          <w:i w:val="0"/>
          <w:sz w:val="28"/>
        </w:rPr>
        <w:t>Tampoco puede justificarse el perfeccionamiento con el argumento de que los motivos nuevos fueron la respuesta obligada a los agravios. Responder un agravio significa explicar por qué el motivo que el acto expresó resiste la objeción planteada; añadir motivos que el acto no contenía significa sustituirlo. El mejoramiento tuvo su origen únicamente en la voluntad de la propia autoridad, y esa voluntad no es fuente de facultades: la resolutora podía confirmar o revocar, no reescribir.</w:t>
      </w:r>
    </w:p>
    <w:p>
      <w:pPr>
        <w:spacing w:line="360" w:lineRule="auto"/>
        <w:jc w:val="both"/>
      </w:pPr>
      <w:r>
        <w:rPr>
          <w:rFonts w:ascii="Arial" w:hAnsi="Arial"/>
          <w:b w:val="0"/>
          <w:i w:val="0"/>
          <w:sz w:val="28"/>
        </w:rPr>
        <w:t>Menos aún puede sostenerse que ningún perjuicio se causa porque la parte actora ya conoce esas razones y puede combatirlas en el juicio. El argumento invierte el orden de las cosas: el recurso de revocación es una instancia real, no un trámite, y la persona contribuyente tenía derecho a que la administración revisara el acto que efectivamente se le notificó. Convalidar la práctica premiaría la motivación deficiente y convertiría cada recurso en una oportunidad de saneamiento.</w:t>
      </w:r>
    </w:p>
    <w:p>
      <w:pPr>
        <w:spacing w:line="360" w:lineRule="auto"/>
        <w:jc w:val="both"/>
      </w:pPr>
      <w:r>
        <w:rPr>
          <w:rFonts w:ascii="Arial" w:hAnsi="Arial"/>
          <w:b w:val="0"/>
          <w:i w:val="0"/>
          <w:sz w:val="28"/>
        </w:rPr>
        <w:t>Conviene medir la consecuencia sistémica. Si se aceptara que la autoridad resolutora puede añadir motivos al confirmar, la garantía de fundamentación y motivación quedaría sujeta a una condición imposible: el particular tendría que adivinar, al recurrir, todas las razones que la administración podría llegar a invocar después. La certeza jurídica que el artículo 16 constitucional persigue se disolvería, y el acto de molestia dejaría de ser un objeto definido para convertirse en un texto abierto.</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En suma: el recurso de revocación es un control interno de legalidad instituido en beneficio de la persona contribuyente; quien lo resuelve revisa el acto tal como fue emitido y sólo puede confirmarlo o revocarlo; los artículos 132, 133 y 133-A, inciso b), del Código Fiscal de la Federación no le confieren facultad para mejorar la fundamentación ni la motivación del acto recurrido; y la resolución impugnada hizo exactamente eso al sostener la negativa con razones que la resolución recurrida nunca expresó.</w:t>
      </w:r>
    </w:p>
    <w:p>
      <w:pPr>
        <w:spacing w:line="360" w:lineRule="auto"/>
        <w:jc w:val="both"/>
      </w:pPr>
      <w:r>
        <w:rPr>
          <w:rFonts w:ascii="Arial" w:hAnsi="Arial"/>
          <w:b w:val="0"/>
          <w:i w:val="0"/>
          <w:sz w:val="28"/>
        </w:rPr>
        <w:t xml:space="preserve">Por lo expuesto, procede declarar fundado el presente concepto de impugnación y, con apoyo en los artículos 51 y 52 de la Ley Federal de Procedimiento Contencioso Administrativo, declarar la nulidad de la resolución contenida en el oficio </w:t>
      </w:r>
      <w:r>
        <w:rPr>
          <w:rFonts w:ascii="Arial" w:hAnsi="Arial"/>
          <w:b/>
          <w:i w:val="0"/>
          <w:sz w:val="28"/>
        </w:rPr>
        <w:t>[NÚMERO Y FECHA DE LA RESOLUCIÓN IMPUGNADA]</w:t>
      </w:r>
      <w:r>
        <w:rPr>
          <w:rFonts w:ascii="Arial" w:hAnsi="Arial"/>
          <w:b w:val="0"/>
          <w:i w:val="0"/>
          <w:sz w:val="28"/>
        </w:rPr>
        <w:t>, sin reenvío alguno a la autoridad que resolvió el recurso, por tratarse de un vicio que no admite ser purgado mediante la emisión de una nueva resolución de segunda instancia.</w:t>
      </w:r>
    </w:p>
    <w:p>
      <w:pPr>
        <w:spacing w:line="360" w:lineRule="auto"/>
        <w:jc w:val="both"/>
      </w:pPr>
      <w:r>
        <w:rPr>
          <w:rFonts w:ascii="Arial" w:hAnsi="Arial"/>
          <w:b w:val="0"/>
          <w:i w:val="0"/>
          <w:sz w:val="28"/>
        </w:rPr>
        <w:t xml:space="preserve">Hecho lo anterior, se solicita que esa Sala proceda al análisis de la resolución contenida en el oficio </w:t>
      </w:r>
      <w:r>
        <w:rPr>
          <w:rFonts w:ascii="Arial" w:hAnsi="Arial"/>
          <w:b/>
          <w:i w:val="0"/>
          <w:sz w:val="28"/>
        </w:rPr>
        <w:t>[NÚMERO Y FECHA DE LA RESOLUCIÓN RECURRIDA]</w:t>
      </w:r>
      <w:r>
        <w:rPr>
          <w:rFonts w:ascii="Arial" w:hAnsi="Arial"/>
          <w:b w:val="0"/>
          <w:i w:val="0"/>
          <w:sz w:val="28"/>
        </w:rPr>
        <w:t xml:space="preserve"> por sus propios fundamentos y motivos, en los términos de los restantes conceptos de impugnación de esta demanda, y declare también su nulidad si, examinada de ese modo, resulta ilegal; lo anterior conforme al principio de litis abierta del último párrafo del artículo 1 de la Ley Federal de Procedimiento Contencioso Administrativo.</w:t>
      </w:r>
    </w:p>
    <w:p>
      <w:pPr>
        <w:spacing w:line="360" w:lineRule="auto"/>
        <w:jc w:val="both"/>
      </w:pPr>
      <w:r>
        <w:rPr>
          <w:rFonts w:ascii="Arial" w:hAnsi="Arial"/>
          <w:b w:val="0"/>
          <w:i w:val="0"/>
          <w:sz w:val="28"/>
        </w:rPr>
        <w:t xml:space="preserve">Se pide el estudio preferente de este concepto conforme al artículo 50 de la Ley Federal de Procedimiento Contencioso Administrativo, pues su acogimiento abre la puerta al examen del acto originalmente recurrido con la motivación que verdaderamente tuvo, que es la única forma de que la controversia sobre el saldo a favor de </w:t>
      </w:r>
      <w:r>
        <w:rPr>
          <w:rFonts w:ascii="Arial" w:hAnsi="Arial"/>
          <w:b/>
          <w:i w:val="0"/>
          <w:sz w:val="28"/>
        </w:rPr>
        <w:t>[CONTRIBUCIÓN Y PERIODO DEL SALDO A FAVOR]</w:t>
      </w:r>
      <w:r>
        <w:rPr>
          <w:rFonts w:ascii="Arial" w:hAnsi="Arial"/>
          <w:b w:val="0"/>
          <w:i w:val="0"/>
          <w:sz w:val="28"/>
        </w:rPr>
        <w:t xml:space="preserve"> se resuelva sobre lo que la autoridad efectivamente decidió y no sobre lo que después quiso haber decidido.</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1781.</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FERRER MAC-GREGOR, op. cit.</w:t>
      </w:r>
      <w:r>
        <w:rPr>
          <w:rFonts w:ascii="Arial" w:hAnsi="Arial"/>
          <w:i w:val="0"/>
          <w:sz w:val="20"/>
        </w:rPr>
        <w:t>, p. 1782.</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TARUFFO, Michele, </w:t>
      </w:r>
      <w:r>
        <w:rPr>
          <w:rFonts w:ascii="Arial" w:hAnsi="Arial"/>
          <w:i/>
          <w:sz w:val="20"/>
        </w:rPr>
        <w:t>La motivación de la sentencia civil</w:t>
      </w:r>
      <w:r>
        <w:rPr>
          <w:rFonts w:ascii="Arial" w:hAnsi="Arial"/>
          <w:i w:val="0"/>
          <w:sz w:val="20"/>
        </w:rPr>
        <w:t>, trad. de Lorenzo Córdova Vianello, Tribunal Electoral del Poder Judicial de la Federación, México, 2006, p. 309.</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EZQUIAGA GANUZAS, Francisco Javier, </w:t>
      </w:r>
      <w:r>
        <w:rPr>
          <w:rFonts w:ascii="Arial" w:hAnsi="Arial"/>
          <w:i/>
          <w:sz w:val="20"/>
        </w:rPr>
        <w:t>La motivación de las decisiones interpretativas electorales</w:t>
      </w:r>
      <w:r>
        <w:rPr>
          <w:rFonts w:ascii="Arial" w:hAnsi="Arial"/>
          <w:i w:val="0"/>
          <w:sz w:val="20"/>
        </w:rPr>
        <w:t>, Tribunal Electoral del Poder Judicial de la Federación, México, 2012, p. 82.</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 p. 82.</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
      <w:r>
        <w:rPr>
          <w:rFonts w:ascii="Arial" w:hAnsi="Arial"/>
          <w:b/>
          <w:sz w:val="22"/>
        </w:rPr>
        <w:t>BIBLIOGRAFÍA</w:t>
      </w:r>
    </w:p>
    <w:p>
      <w:pPr>
        <w:spacing w:after="60"/>
        <w:ind w:left="360" w:hanging="360"/>
        <w:jc w:val="both"/>
      </w:pPr>
      <w:r>
        <w:rPr>
          <w:rFonts w:ascii="Arial" w:hAnsi="Arial"/>
          <w:i w:val="0"/>
          <w:sz w:val="20"/>
        </w:rPr>
        <w:t xml:space="preserve">EZQUIAGA GANUZAS, Francisco Javier, </w:t>
      </w:r>
      <w:r>
        <w:rPr>
          <w:rFonts w:ascii="Arial" w:hAnsi="Arial"/>
          <w:i/>
          <w:sz w:val="20"/>
        </w:rPr>
        <w:t>La motivación de las decisiones interpretativas electorales</w:t>
      </w:r>
      <w:r>
        <w:rPr>
          <w:rFonts w:ascii="Arial" w:hAnsi="Arial"/>
          <w:i w:val="0"/>
          <w:sz w:val="20"/>
        </w:rPr>
        <w:t>, Tribunal Electoral del Poder Judicial de la Federación, México, 2012.</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w:t>
      </w:r>
    </w:p>
    <w:p>
      <w:pPr>
        <w:spacing w:after="60"/>
        <w:ind w:left="360" w:hanging="360"/>
        <w:jc w:val="both"/>
      </w:pPr>
      <w:r>
        <w:rPr>
          <w:rFonts w:ascii="Arial" w:hAnsi="Arial"/>
          <w:i w:val="0"/>
          <w:sz w:val="20"/>
        </w:rPr>
        <w:t xml:space="preserve">TARUFFO, Michele, </w:t>
      </w:r>
      <w:r>
        <w:rPr>
          <w:rFonts w:ascii="Arial" w:hAnsi="Arial"/>
          <w:i/>
          <w:sz w:val="20"/>
        </w:rPr>
        <w:t>La motivación de la sentencia civil</w:t>
      </w:r>
      <w:r>
        <w:rPr>
          <w:rFonts w:ascii="Arial" w:hAnsi="Arial"/>
          <w:i w:val="0"/>
          <w:sz w:val="20"/>
        </w:rPr>
        <w:t>, trad. de Lorenzo Córdova Vianello, Tribunal Electoral del Poder Judicial de la Federación, México, 2006.</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