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DETERMINACIÓN PRESUNTIVA DE INGRESOS POR DEPÓSITOS BANCARIOS</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adáptalo a tu demanda de nulidad. Antes de escribir, arma tres columnas con los depósitos observados: fecha, monto y origen real; enseguida localiza, para cada uno, la constancia que lo respalda y anota la foja del expediente administrativo donde obra. Ese cuadro es el corazón del concepto: sin él, el argumento suena a protesta; con él, la autoridad queda obligada a explicar por qué desatendió pruebas que estaban en su poder.</w:t>
      </w:r>
    </w:p>
    <w:p>
      <w:pPr>
        <w:spacing w:line="360" w:lineRule="auto"/>
        <w:jc w:val="both"/>
      </w:pPr>
      <w:r>
        <w:rPr>
          <w:rFonts w:ascii="Arial" w:hAnsi="Arial"/>
          <w:b w:val="0"/>
          <w:i w:val="0"/>
          <w:sz w:val="24"/>
        </w:rPr>
        <w:t>Revisa también la resolución impugnada y transcribe con fidelidad el párrafo en que se descartan tus probanzas, porque ese es el razonamiento que hay que morder. Si vas a la vía de resolución exclusiva de fondo, confirma que cada prueba que invocas ya se ofreció y exhibió en el procedimiento de comprobación, en el de acuerdos conclusivos o en el recurso administrativo. Verifica el plazo aplicable a tu vía y presenta la demanda a tiempo.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[SALA REGIONAL O SALA ESPECIALIZADA COMPETENTE]</w:t>
      </w:r>
      <w:r>
        <w:rPr>
          <w:rFonts w:ascii="Arial" w:hAnsi="Arial"/>
          <w:b w:val="0"/>
          <w:i w:val="0"/>
          <w:sz w:val="24"/>
        </w:rPr>
        <w:t>: la Sala ante la que presentas la demanda, conforme a las reglas de competencia y a la vía elegida.</w:t>
      </w:r>
    </w:p>
    <w:p>
      <w:pPr>
        <w:spacing w:line="360" w:lineRule="auto"/>
        <w:jc w:val="both"/>
      </w:pPr>
      <w:r>
        <w:rPr>
          <w:rFonts w:ascii="Arial" w:hAnsi="Arial"/>
          <w:b/>
          <w:i w:val="0"/>
          <w:sz w:val="24"/>
        </w:rPr>
        <w:t>[NOMBRE DE LA PARTE ACTORA]</w:t>
      </w:r>
      <w:r>
        <w:rPr>
          <w:rFonts w:ascii="Arial" w:hAnsi="Arial"/>
          <w:b w:val="0"/>
          <w:i w:val="0"/>
          <w:sz w:val="24"/>
        </w:rPr>
        <w:t>: la persona física o moral a la que se determinó el crédito.</w:t>
      </w:r>
    </w:p>
    <w:p>
      <w:pPr>
        <w:spacing w:line="360" w:lineRule="auto"/>
        <w:jc w:val="both"/>
      </w:pPr>
      <w:r>
        <w:rPr>
          <w:rFonts w:ascii="Arial" w:hAnsi="Arial"/>
          <w:b/>
          <w:i w:val="0"/>
          <w:sz w:val="24"/>
        </w:rPr>
        <w:t>[AUTORIDAD DEMANDADA]</w:t>
      </w:r>
      <w:r>
        <w:rPr>
          <w:rFonts w:ascii="Arial" w:hAnsi="Arial"/>
          <w:b w:val="0"/>
          <w:i w:val="0"/>
          <w:sz w:val="24"/>
        </w:rPr>
        <w:t>: la denominación completa de la autoridad que emitió la resolución impugnada.</w:t>
      </w:r>
    </w:p>
    <w:p>
      <w:pPr>
        <w:spacing w:line="360" w:lineRule="auto"/>
        <w:jc w:val="both"/>
      </w:pPr>
      <w:r>
        <w:rPr>
          <w:rFonts w:ascii="Arial" w:hAnsi="Arial"/>
          <w:b/>
          <w:i w:val="0"/>
          <w:sz w:val="24"/>
        </w:rPr>
        <w:t>[RESOLUCIÓN IMPUGNADA Y SU FECHA]</w:t>
      </w:r>
      <w:r>
        <w:rPr>
          <w:rFonts w:ascii="Arial" w:hAnsi="Arial"/>
          <w:b w:val="0"/>
          <w:i w:val="0"/>
          <w:sz w:val="24"/>
        </w:rPr>
        <w:t>: el oficio o resolución que combates, con su número y fecha.</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te fue notificada, de la que corre el plazo.</w:t>
      </w:r>
    </w:p>
    <w:p>
      <w:pPr>
        <w:spacing w:line="360" w:lineRule="auto"/>
        <w:jc w:val="both"/>
      </w:pPr>
      <w:r>
        <w:rPr>
          <w:rFonts w:ascii="Arial" w:hAnsi="Arial"/>
          <w:b/>
          <w:i w:val="0"/>
          <w:sz w:val="24"/>
        </w:rPr>
        <w:t>[MONTO DEL CRÉDITO FISCAL DETERMINADO]</w:t>
      </w:r>
      <w:r>
        <w:rPr>
          <w:rFonts w:ascii="Arial" w:hAnsi="Arial"/>
          <w:b w:val="0"/>
          <w:i w:val="0"/>
          <w:sz w:val="24"/>
        </w:rPr>
        <w:t>: el importe total del crédito, con sus accesorios.</w:t>
      </w:r>
    </w:p>
    <w:p>
      <w:pPr>
        <w:spacing w:line="360" w:lineRule="auto"/>
        <w:jc w:val="both"/>
      </w:pPr>
      <w:r>
        <w:rPr>
          <w:rFonts w:ascii="Arial" w:hAnsi="Arial"/>
          <w:b/>
          <w:i w:val="0"/>
          <w:sz w:val="24"/>
        </w:rPr>
        <w:t>[EJERCICIOS FISCALES REVISADOS]</w:t>
      </w:r>
      <w:r>
        <w:rPr>
          <w:rFonts w:ascii="Arial" w:hAnsi="Arial"/>
          <w:b w:val="0"/>
          <w:i w:val="0"/>
          <w:sz w:val="24"/>
        </w:rPr>
        <w:t>: los ejercicios comprendidos en la revisión.</w:t>
      </w:r>
    </w:p>
    <w:p>
      <w:pPr>
        <w:spacing w:line="360" w:lineRule="auto"/>
        <w:jc w:val="both"/>
      </w:pPr>
      <w:r>
        <w:rPr>
          <w:rFonts w:ascii="Arial" w:hAnsi="Arial"/>
          <w:b/>
          <w:i w:val="0"/>
          <w:sz w:val="24"/>
        </w:rPr>
        <w:t>[MONTO DE LOS DEPÓSITOS OBSERVADOS]</w:t>
      </w:r>
      <w:r>
        <w:rPr>
          <w:rFonts w:ascii="Arial" w:hAnsi="Arial"/>
          <w:b w:val="0"/>
          <w:i w:val="0"/>
          <w:sz w:val="24"/>
        </w:rPr>
        <w:t>: la suma de los depósitos que la autoridad tomó como ingresos presuntos.</w:t>
      </w:r>
    </w:p>
    <w:p>
      <w:pPr>
        <w:spacing w:line="360" w:lineRule="auto"/>
        <w:jc w:val="both"/>
      </w:pPr>
      <w:r>
        <w:rPr>
          <w:rFonts w:ascii="Arial" w:hAnsi="Arial"/>
          <w:b/>
          <w:i w:val="0"/>
          <w:sz w:val="24"/>
        </w:rPr>
        <w:t>[ORIGEN REAL DE LOS DEPÓSITOS]</w:t>
      </w:r>
      <w:r>
        <w:rPr>
          <w:rFonts w:ascii="Arial" w:hAnsi="Arial"/>
          <w:b w:val="0"/>
          <w:i w:val="0"/>
          <w:sz w:val="24"/>
        </w:rPr>
        <w:t>: la explicación concreta de cada grupo de depósitos (préstamos otorgados y recuperados, traspasos entre cuentas propias, pagos de terceros, reembolsos, bonificaciones bancarias).</w:t>
      </w:r>
    </w:p>
    <w:p>
      <w:pPr>
        <w:spacing w:line="360" w:lineRule="auto"/>
        <w:jc w:val="both"/>
      </w:pPr>
      <w:r>
        <w:rPr>
          <w:rFonts w:ascii="Arial" w:hAnsi="Arial"/>
          <w:b/>
          <w:i w:val="0"/>
          <w:sz w:val="24"/>
        </w:rPr>
        <w:t>[PRUEBAS OFRECIDAS EN EL PROCEDIMIENTO O EN EL RECURSO]</w:t>
      </w:r>
      <w:r>
        <w:rPr>
          <w:rFonts w:ascii="Arial" w:hAnsi="Arial"/>
          <w:b w:val="0"/>
          <w:i w:val="0"/>
          <w:sz w:val="24"/>
        </w:rPr>
        <w:t>: la relación de tus probanzas (estados de cuenta, comprobantes de transferencia, papeles de trabajo, registros de préstamos, documentos públicos que acrediten el parentesco).</w:t>
      </w:r>
    </w:p>
    <w:p>
      <w:pPr>
        <w:spacing w:line="360" w:lineRule="auto"/>
        <w:jc w:val="both"/>
      </w:pPr>
      <w:r>
        <w:rPr>
          <w:rFonts w:ascii="Arial" w:hAnsi="Arial"/>
          <w:b/>
          <w:i w:val="0"/>
          <w:sz w:val="24"/>
        </w:rPr>
        <w:t>[FOJAS DEL EXPEDIENTE ADMINISTRATIVO]</w:t>
      </w:r>
      <w:r>
        <w:rPr>
          <w:rFonts w:ascii="Arial" w:hAnsi="Arial"/>
          <w:b w:val="0"/>
          <w:i w:val="0"/>
          <w:sz w:val="24"/>
        </w:rPr>
        <w:t>: las fojas y el tomo donde obra cada constancia.</w:t>
      </w:r>
    </w:p>
    <w:p>
      <w:pPr>
        <w:spacing w:line="360" w:lineRule="auto"/>
        <w:jc w:val="both"/>
      </w:pPr>
      <w:r>
        <w:rPr>
          <w:rFonts w:ascii="Arial" w:hAnsi="Arial"/>
          <w:b/>
          <w:i w:val="0"/>
          <w:sz w:val="24"/>
        </w:rPr>
        <w:t>[TRANSCRIPCIÓN DEL RAZONAMIENTO DE LA AUTORIDAD]</w:t>
      </w:r>
      <w:r>
        <w:rPr>
          <w:rFonts w:ascii="Arial" w:hAnsi="Arial"/>
          <w:b w:val="0"/>
          <w:i w:val="0"/>
          <w:sz w:val="24"/>
        </w:rPr>
        <w:t>: el pasaje literal de la resolución impugnada en que se descartan tus pruebas.</w:t>
      </w:r>
    </w:p>
    <w:p>
      <w:pPr>
        <w:spacing w:line="360" w:lineRule="auto"/>
        <w:jc w:val="both"/>
      </w:pPr>
      <w:r>
        <w:rPr>
          <w:rFonts w:ascii="Arial" w:hAnsi="Arial"/>
          <w:b/>
          <w:i w:val="0"/>
          <w:sz w:val="24"/>
        </w:rPr>
        <w:t>[VERIFICAR PLAZO APLICABLE]</w:t>
      </w:r>
      <w:r>
        <w:rPr>
          <w:rFonts w:ascii="Arial" w:hAnsi="Arial"/>
          <w:b w:val="0"/>
          <w:i w:val="0"/>
          <w:sz w:val="24"/>
        </w:rPr>
        <w:t>: sustitúyelo por el plazo que rija la vía que elijas, confirmado en la ley antes de presentar la demanda.</w:t>
      </w:r>
    </w:p>
    <w:p/>
    <w:p>
      <w:pPr>
        <w:spacing w:line="360" w:lineRule="auto"/>
        <w:jc w:val="both"/>
      </w:pPr>
      <w:r>
        <w:rPr>
          <w:rFonts w:ascii="Arial" w:hAnsi="Arial"/>
          <w:b/>
          <w:sz w:val="28"/>
        </w:rPr>
        <w:t>[NÚMERO ORDINAL DEL CONCEPTO] CONCEPTO DE IMPUGNACIÓN. Indebida aplicación del artículo 59, fracción III, del Código Fiscal de la Federación e indebida apreciación de los hechos. La autoridad determinó presuntivamente ingresos por los depósitos recibidos en las cuentas bancarias de la parte actora y, para tener por no desvirtuada esa presunción, le exigió acreditar la materialidad de las operaciones que originaron los depósitos, requisito que el precepto no prevé; además, valoró de manera fragmentaria las pruebas del expediente administrativo, con lo que convirtió una presunción rebatible en una verdad inatacable.</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impugnada es ilegal porque </w:t>
      </w:r>
      <w:r>
        <w:rPr>
          <w:rFonts w:ascii="Arial" w:hAnsi="Arial"/>
          <w:b/>
          <w:i w:val="0"/>
          <w:sz w:val="28"/>
        </w:rPr>
        <w:t>[AUTORIDAD DEMANDADA]</w:t>
      </w:r>
      <w:r>
        <w:rPr>
          <w:rFonts w:ascii="Arial" w:hAnsi="Arial"/>
          <w:b w:val="0"/>
          <w:i w:val="0"/>
          <w:sz w:val="28"/>
        </w:rPr>
        <w:t xml:space="preserve"> determinó a cargo de </w:t>
      </w:r>
      <w:r>
        <w:rPr>
          <w:rFonts w:ascii="Arial" w:hAnsi="Arial"/>
          <w:b/>
          <w:i w:val="0"/>
          <w:sz w:val="28"/>
        </w:rPr>
        <w:t>[NOMBRE DE LA PARTE ACTORA]</w:t>
      </w:r>
      <w:r>
        <w:rPr>
          <w:rFonts w:ascii="Arial" w:hAnsi="Arial"/>
          <w:b w:val="0"/>
          <w:i w:val="0"/>
          <w:sz w:val="28"/>
        </w:rPr>
        <w:t xml:space="preserve"> ingresos presuntos por los depósitos recibidos en sus cuentas bancarias durante </w:t>
      </w:r>
      <w:r>
        <w:rPr>
          <w:rFonts w:ascii="Arial" w:hAnsi="Arial"/>
          <w:b/>
          <w:i w:val="0"/>
          <w:sz w:val="28"/>
        </w:rPr>
        <w:t>[EJERCICIOS FISCALES REVISADOS]</w:t>
      </w:r>
      <w:r>
        <w:rPr>
          <w:rFonts w:ascii="Arial" w:hAnsi="Arial"/>
          <w:b w:val="0"/>
          <w:i w:val="0"/>
          <w:sz w:val="28"/>
        </w:rPr>
        <w:t xml:space="preserve">, en cantidad de </w:t>
      </w:r>
      <w:r>
        <w:rPr>
          <w:rFonts w:ascii="Arial" w:hAnsi="Arial"/>
          <w:b/>
          <w:i w:val="0"/>
          <w:sz w:val="28"/>
        </w:rPr>
        <w:t>[MONTO DE LOS DEPÓSITOS OBSERVADOS]</w:t>
      </w:r>
      <w:r>
        <w:rPr>
          <w:rFonts w:ascii="Arial" w:hAnsi="Arial"/>
          <w:b w:val="0"/>
          <w:i w:val="0"/>
          <w:sz w:val="28"/>
        </w:rPr>
        <w:t>, y tuvo por no desvirtuada la presunción con un argumento que la ley no autoriza: que no se acreditó la materialidad de las operaciones que dieron origen a esos depósitos.</w:t>
      </w:r>
    </w:p>
    <w:p>
      <w:pPr>
        <w:spacing w:line="360" w:lineRule="auto"/>
        <w:jc w:val="both"/>
      </w:pPr>
      <w:r>
        <w:rPr>
          <w:rFonts w:ascii="Arial" w:hAnsi="Arial"/>
          <w:b w:val="0"/>
          <w:i w:val="0"/>
          <w:sz w:val="28"/>
        </w:rPr>
        <w:t>La demostración descansa en una premisa sencilla. El artículo 59, fracción III, del Código Fiscal de la Federación permite presumir ingresos cuando los depósitos en las cuentas del contribuyente no se encuentran registrados ni soportados documentalmente en la contabilidad que está obligado a llevar; lo que ese precepto no exige, para desvirtuar la presunción, es que el contribuyente demuestre además la realidad material de las operaciones subyacentes. Exigirlo equivale a añadir un requisito que el legislador no estableció.</w:t>
      </w:r>
    </w:p>
    <w:p>
      <w:pPr>
        <w:spacing w:line="360" w:lineRule="auto"/>
        <w:jc w:val="both"/>
      </w:pPr>
      <w:r>
        <w:rPr>
          <w:rFonts w:ascii="Arial" w:hAnsi="Arial"/>
          <w:b w:val="0"/>
          <w:i w:val="0"/>
          <w:sz w:val="28"/>
        </w:rPr>
        <w:t>Se demostrará, en segundo lugar, que la autoridad llegó a esa conclusión después de examinar las pruebas una por una y de manera aislada, sin confrontarlas entre sí ni con las constancias del expediente administrativo, de modo que descartó cada documento por lo que individualmente no probaba, en lugar de establecer si el conjunto permitía identificar el origen de los depósitos. Esa forma de proceder no es valoración: es una motivación aparente que deja intacta la presunción de la que partió.</w:t>
      </w:r>
    </w:p>
    <w:p>
      <w:pPr>
        <w:spacing w:line="360" w:lineRule="auto"/>
        <w:jc w:val="both"/>
      </w:pPr>
      <w:r>
        <w:rPr>
          <w:rFonts w:ascii="Arial" w:hAnsi="Arial"/>
          <w:b w:val="0"/>
          <w:i w:val="0"/>
          <w:sz w:val="28"/>
        </w:rPr>
        <w:t xml:space="preserve">Si la premisa se respeta, la conclusión es forzosa: la resolución impugnada se sustenta en una apreciación equivocada de los hechos y en una aplicación indebida del precepto invocado, de manera que procede declarar su nulidad y, con ella, la de la resolución determinante del crédito fiscal, para el efecto de que los depósitos cuyo origen quedó identificado se excluyan de la base del impuesto sobre la renta de </w:t>
      </w:r>
      <w:r>
        <w:rPr>
          <w:rFonts w:ascii="Arial" w:hAnsi="Arial"/>
          <w:b/>
          <w:i w:val="0"/>
          <w:sz w:val="28"/>
        </w:rPr>
        <w:t>[EJERCICIOS FISCALES REVISADOS]</w:t>
      </w:r>
      <w:r>
        <w:rPr>
          <w:rFonts w:ascii="Arial" w:hAnsi="Arial"/>
          <w:b w:val="0"/>
          <w:i w:val="0"/>
          <w:sz w:val="28"/>
        </w:rPr>
        <w:t>.</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consiste en </w:t>
      </w:r>
      <w:r>
        <w:rPr>
          <w:rFonts w:ascii="Arial" w:hAnsi="Arial"/>
          <w:b/>
          <w:i w:val="0"/>
          <w:sz w:val="28"/>
        </w:rPr>
        <w:t>[RESOLUCIÓN IMPUGNADA Y SU FECHA]</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y notificada a la parte actora el </w:t>
      </w:r>
      <w:r>
        <w:rPr>
          <w:rFonts w:ascii="Arial" w:hAnsi="Arial"/>
          <w:b/>
          <w:i w:val="0"/>
          <w:sz w:val="28"/>
        </w:rPr>
        <w:t>[FECHA DE NOTIFICACIÓN DE LA RESOLUCIÓN IMPUGNADA]</w:t>
      </w:r>
      <w:r>
        <w:rPr>
          <w:rFonts w:ascii="Arial" w:hAnsi="Arial"/>
          <w:b w:val="0"/>
          <w:i w:val="0"/>
          <w:sz w:val="28"/>
        </w:rPr>
        <w:t xml:space="preserve">, por virtud de la cual se confirmó la determinación de un crédito fiscal en cantidad de </w:t>
      </w:r>
      <w:r>
        <w:rPr>
          <w:rFonts w:ascii="Arial" w:hAnsi="Arial"/>
          <w:b/>
          <w:i w:val="0"/>
          <w:sz w:val="28"/>
        </w:rPr>
        <w:t>[MONTO DEL CRÉDITO FISCAL DETERMINADO]</w:t>
      </w:r>
      <w:r>
        <w:rPr>
          <w:rFonts w:ascii="Arial" w:hAnsi="Arial"/>
          <w:b w:val="0"/>
          <w:i w:val="0"/>
          <w:sz w:val="28"/>
        </w:rPr>
        <w:t xml:space="preserve"> por concepto de impuesto sobre la renta, actualización, recargos y multas de </w:t>
      </w:r>
      <w:r>
        <w:rPr>
          <w:rFonts w:ascii="Arial" w:hAnsi="Arial"/>
          <w:b/>
          <w:i w:val="0"/>
          <w:sz w:val="28"/>
        </w:rPr>
        <w:t>[EJERCICIOS FISCALES REVISADOS]</w:t>
      </w:r>
      <w:r>
        <w:rPr>
          <w:rFonts w:ascii="Arial" w:hAnsi="Arial"/>
          <w:b w:val="0"/>
          <w:i w:val="0"/>
          <w:sz w:val="28"/>
        </w:rPr>
        <w:t>.</w:t>
      </w:r>
    </w:p>
    <w:p>
      <w:pPr>
        <w:spacing w:line="360" w:lineRule="auto"/>
        <w:jc w:val="both"/>
      </w:pPr>
      <w:r>
        <w:rPr>
          <w:rFonts w:ascii="Arial" w:hAnsi="Arial"/>
          <w:b w:val="0"/>
          <w:i w:val="0"/>
          <w:sz w:val="28"/>
        </w:rPr>
        <w:t>Las normas cuya inobservancia se plantea son el artículo 59, fracción III, párrafos tercero y cuarto, del Código Fiscal de la Federación, que fija los supuestos de la determinación presuntiva por depósitos bancarios; los artículos 46, fracciones I y III, y 50 de la Ley Federal de Procedimiento Contencioso Administrativo, sobre la valoración de las pruebas y la resolución de los puntos controvertidos; los artículos 129, 197 y 202 del Código Federal de Procedimientos Civiles, de aplicación supletoria; y los artículos 14, párrafo segundo, y 16, párrafo primero, de la Constitución Política de los Estados Unidos Mexicanos.</w:t>
      </w:r>
    </w:p>
    <w:p>
      <w:pPr>
        <w:spacing w:line="360" w:lineRule="auto"/>
        <w:jc w:val="both"/>
      </w:pPr>
      <w:r>
        <w:rPr>
          <w:rFonts w:ascii="Arial" w:hAnsi="Arial"/>
          <w:b w:val="0"/>
          <w:i w:val="0"/>
          <w:sz w:val="28"/>
        </w:rPr>
        <w:t xml:space="preserve">El perjuicio es concreto y verificable. Los depósitos observados corresponden a </w:t>
      </w:r>
      <w:r>
        <w:rPr>
          <w:rFonts w:ascii="Arial" w:hAnsi="Arial"/>
          <w:b/>
          <w:i w:val="0"/>
          <w:sz w:val="28"/>
        </w:rPr>
        <w:t>[ORIGEN REAL DE LOS DEPÓSITOS]</w:t>
      </w:r>
      <w:r>
        <w:rPr>
          <w:rFonts w:ascii="Arial" w:hAnsi="Arial"/>
          <w:b w:val="0"/>
          <w:i w:val="0"/>
          <w:sz w:val="28"/>
        </w:rPr>
        <w:t xml:space="preserve">, y para acreditarlo se ofrecieron y exhibieron, en el procedimiento de comprobación y en el recurso administrativo, </w:t>
      </w:r>
      <w:r>
        <w:rPr>
          <w:rFonts w:ascii="Arial" w:hAnsi="Arial"/>
          <w:b/>
          <w:i w:val="0"/>
          <w:sz w:val="28"/>
        </w:rPr>
        <w:t>[PRUEBAS OFRECIDAS EN EL PROCEDIMIENTO O EN EL RECURSO]</w:t>
      </w:r>
      <w:r>
        <w:rPr>
          <w:rFonts w:ascii="Arial" w:hAnsi="Arial"/>
          <w:b w:val="0"/>
          <w:i w:val="0"/>
          <w:sz w:val="28"/>
        </w:rPr>
        <w:t xml:space="preserve">, que obran a </w:t>
      </w:r>
      <w:r>
        <w:rPr>
          <w:rFonts w:ascii="Arial" w:hAnsi="Arial"/>
          <w:b/>
          <w:i w:val="0"/>
          <w:sz w:val="28"/>
        </w:rPr>
        <w:t>[FOJAS DEL EXPEDIENTE ADMINISTRATIVO]</w:t>
      </w:r>
      <w:r>
        <w:rPr>
          <w:rFonts w:ascii="Arial" w:hAnsi="Arial"/>
          <w:b w:val="0"/>
          <w:i w:val="0"/>
          <w:sz w:val="28"/>
        </w:rPr>
        <w:t>. Al desatender ese material y exigir la prueba de la materialidad, la autoridad gravó como ingreso cantidades que no incrementaron el patrimonio de la parte actora y construyó sobre ellas el crédito fiscal que ahora se combate.</w:t>
      </w:r>
    </w:p>
    <w:p>
      <w:pPr>
        <w:spacing w:line="360" w:lineRule="auto"/>
        <w:jc w:val="both"/>
      </w:pPr>
      <w:r>
        <w:rPr>
          <w:rFonts w:ascii="Arial" w:hAnsi="Arial"/>
          <w:b w:val="0"/>
          <w:i w:val="0"/>
          <w:sz w:val="28"/>
        </w:rPr>
        <w:t>La pretensión es la declaratoria de nulidad de la resolución impugnada y de la originalmente recurrida, por actualizarse las causales de ilegalidad que la Ley Federal de Procedimiento Contencioso Administrativo prevé en su artículo 51 para el juicio ordinario y en su artículo 58-27 para el juicio de resolución exclusiva de fondo, según la vía en que se promueva la demanda, con el alcance que se precisa en el apartado de conclusiones.</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Conviene empezar por la naturaleza del instrumento que la autoridad empleó. La determinación presuntiva de ingresos es una presunción legal relativa, esto es, un mecanismo que releva a la autoridad de acreditar directamente el hecho presumido una vez probado el hecho base. La doctrina precisa el efecto de esas presunciones con una distinción importante: trasladan al oponente la carga de aportar pruebas para desvirtuarlas, pero no la carga de persuasión sobre el hecho presumido.</w:t>
      </w:r>
      <w:r>
        <w:rPr>
          <w:rFonts w:ascii="Arial" w:hAnsi="Arial"/>
          <w:vertAlign w:val="superscript"/>
        </w:rPr>
        <w:t>1</w:t>
      </w:r>
    </w:p>
    <w:p>
      <w:pPr>
        <w:spacing w:line="360" w:lineRule="auto"/>
        <w:jc w:val="both"/>
      </w:pPr>
      <w:r>
        <w:rPr>
          <w:rFonts w:ascii="Arial" w:hAnsi="Arial"/>
          <w:b w:val="0"/>
          <w:i w:val="0"/>
          <w:sz w:val="28"/>
        </w:rPr>
        <w:t>Esa distinción también ordena el objeto de la defensa. La misma doctrina diferencia la prueba que se dirige contra el hecho presumido, llamada prueba en contrario, de la que se dirige contra el hecho base, denominada contraprueba, y advierte que en ambos casos la prueba puede ser directa o indirecta.</w:t>
      </w:r>
      <w:r>
        <w:rPr>
          <w:rFonts w:ascii="Arial" w:hAnsi="Arial"/>
          <w:vertAlign w:val="superscript"/>
        </w:rPr>
        <w:t>2</w:t>
      </w:r>
      <w:r>
        <w:rPr>
          <w:rFonts w:ascii="Arial" w:hAnsi="Arial"/>
          <w:b w:val="0"/>
          <w:i w:val="0"/>
          <w:sz w:val="28"/>
        </w:rPr>
        <w:t xml:space="preserve"> Aplicado al caso, el contribuyente puede atacar el hecho base, demostrando que los depósitos sí estaban soportados, o el hecho presumido, demostrando que no constituyen ingreso gravable; ninguna de las dos vías exige probar la materialidad de operación alguna.</w:t>
      </w:r>
    </w:p>
    <w:p>
      <w:pPr>
        <w:spacing w:line="360" w:lineRule="auto"/>
        <w:jc w:val="both"/>
      </w:pPr>
      <w:r>
        <w:rPr>
          <w:rFonts w:ascii="Arial" w:hAnsi="Arial"/>
          <w:b w:val="0"/>
          <w:i w:val="0"/>
          <w:sz w:val="28"/>
        </w:rPr>
        <w:t>La tercera pieza doctrinal es el límite del estándar probatorio. La doctrina recuerda que los tribunales acudieron a los principios de facilidad y disponibilidad probatoria precisamente para evitar que la aplicación estricta de las reglas sobre la carga de la prueba condujera a situaciones procesales injustas para las partes.</w:t>
      </w:r>
      <w:r>
        <w:rPr>
          <w:rFonts w:ascii="Arial" w:hAnsi="Arial"/>
          <w:vertAlign w:val="superscript"/>
        </w:rPr>
        <w:t>3</w:t>
      </w:r>
      <w:r>
        <w:rPr>
          <w:rFonts w:ascii="Arial" w:hAnsi="Arial"/>
          <w:b w:val="0"/>
          <w:i w:val="0"/>
          <w:sz w:val="28"/>
        </w:rPr>
        <w:t xml:space="preserve"> El corolario se ha reconocido en casos análogos: el estándar exigible no debe ir más allá de lo objetivo y razonable según la naturaleza de la operación, sin que pueda pedirse a la parte actora demostrar </w:t>
      </w:r>
      <w:r>
        <w:rPr>
          <w:rFonts w:ascii="Arial" w:hAnsi="Arial"/>
          <w:b w:val="0"/>
          <w:i/>
          <w:sz w:val="28"/>
        </w:rPr>
        <w:t>“extremos imposibles o desmedidos”</w:t>
      </w:r>
      <w:r>
        <w:rPr>
          <w:rFonts w:ascii="Arial" w:hAnsi="Arial"/>
          <w:b w:val="0"/>
          <w:i w:val="0"/>
          <w:sz w:val="28"/>
        </w:rPr>
        <w:t>.</w:t>
      </w:r>
    </w:p>
    <w:p>
      <w:pPr>
        <w:spacing w:line="360" w:lineRule="auto"/>
        <w:jc w:val="both"/>
      </w:pPr>
      <w:r>
        <w:rPr>
          <w:rFonts w:ascii="Arial" w:hAnsi="Arial"/>
          <w:b w:val="0"/>
          <w:i w:val="0"/>
          <w:sz w:val="28"/>
        </w:rPr>
        <w:t>Con esas premisas se lee el precepto aplicado. El artículo 59, fracción III, párrafos tercero y cuarto, del Código Fiscal de la Federación condiciona la presunción a que el contribuyente no esté obligado a llevar contabilidad, a que la suma de los depósitos del ejercicio exceda el monto que el propio precepto fija, y a que la autoridad haya iniciado sus facultades de comprobación sin que el contribuyente hubiera informado antes de esos depósitos al Servicio de Administración Tributaria, cubriendo los requisitos que ese órgano establezca mediante reglas de carácter general.</w:t>
      </w:r>
    </w:p>
    <w:p>
      <w:pPr>
        <w:spacing w:line="360" w:lineRule="auto"/>
        <w:jc w:val="both"/>
      </w:pPr>
      <w:r>
        <w:rPr>
          <w:rFonts w:ascii="Arial" w:hAnsi="Arial"/>
          <w:b w:val="0"/>
          <w:i w:val="0"/>
          <w:sz w:val="28"/>
        </w:rPr>
        <w:t xml:space="preserve">Lo decisivo es lo que el precepto no dice. La estimativa indirecta se actualiza cuando el contribuyente no sustenta documentalmente en su contabilidad el registro de los depósitos, no cuando deja de demostrar que las operaciones que los originaron ocurrieron en el mundo fáctico. Se ha reconocido en casos análogos que la materialidad de las operaciones </w:t>
      </w:r>
      <w:r>
        <w:rPr>
          <w:rFonts w:ascii="Arial" w:hAnsi="Arial"/>
          <w:b w:val="0"/>
          <w:i/>
          <w:sz w:val="28"/>
        </w:rPr>
        <w:t>“no es un requisito previsto en el artículo 59, fracción III, del Código Fiscal de la Federación”</w:t>
      </w:r>
      <w:r>
        <w:rPr>
          <w:rFonts w:ascii="Arial" w:hAnsi="Arial"/>
          <w:b w:val="0"/>
          <w:i w:val="0"/>
          <w:sz w:val="28"/>
        </w:rPr>
        <w:t>, de modo que sostener lo contrario permitiría a la autoridad imponer al contribuyente requisitos adicionales a los que las disposiciones fiscales establecen.</w:t>
      </w:r>
    </w:p>
    <w:p>
      <w:pPr>
        <w:spacing w:line="360" w:lineRule="auto"/>
        <w:jc w:val="both"/>
      </w:pPr>
      <w:r>
        <w:rPr>
          <w:rFonts w:ascii="Arial" w:hAnsi="Arial"/>
          <w:b w:val="0"/>
          <w:i w:val="0"/>
          <w:sz w:val="28"/>
        </w:rPr>
        <w:t>A la premisa normativa se suma la que gobierna la motivación del acto. La doctrina procesal exige que la justificación de la decisión sobre los hechos sea completa, en el sentido de que debe involucrar todas las pruebas relacionadas con todos los hechos de la causa, con una justificación específica y analítica de la apreciación de cada una de ellas.</w:t>
      </w:r>
      <w:r>
        <w:rPr>
          <w:rFonts w:ascii="Arial" w:hAnsi="Arial"/>
          <w:vertAlign w:val="superscript"/>
        </w:rPr>
        <w:t>4</w:t>
      </w:r>
      <w:r>
        <w:rPr>
          <w:rFonts w:ascii="Arial" w:hAnsi="Arial"/>
          <w:b w:val="0"/>
          <w:i w:val="0"/>
          <w:sz w:val="28"/>
        </w:rPr>
        <w:t xml:space="preserve"> Una resolución que enumera los documentos y los descarta en bloque, sin explicar qué acredita cada uno y qué resulta de su conjunto, no satisface ese deber.</w:t>
      </w:r>
    </w:p>
    <w:p>
      <w:pPr>
        <w:spacing w:line="360" w:lineRule="auto"/>
        <w:jc w:val="both"/>
      </w:pPr>
      <w:r>
        <w:rPr>
          <w:rFonts w:ascii="Arial" w:hAnsi="Arial"/>
          <w:b w:val="0"/>
          <w:i w:val="0"/>
          <w:sz w:val="28"/>
        </w:rPr>
        <w:t>La doctrina mexicana lo formula como un trío de reglas formales exigibles a toda decisión: congruencia, exhaustividad y motivación, donde la congruencia impone que la decisión corresponda de manera exacta y puntual al análisis de lo planteado.</w:t>
      </w:r>
      <w:r>
        <w:rPr>
          <w:rFonts w:ascii="Arial" w:hAnsi="Arial"/>
          <w:vertAlign w:val="superscript"/>
        </w:rPr>
        <w:t>5</w:t>
      </w:r>
      <w:r>
        <w:rPr>
          <w:rFonts w:ascii="Arial" w:hAnsi="Arial"/>
          <w:b w:val="0"/>
          <w:i w:val="0"/>
          <w:sz w:val="28"/>
        </w:rPr>
        <w:t xml:space="preserve"> Esas reglas rigen tanto la sentencia como el acto administrativo, porque ambos deben explicar por qué los hechos probados encuadran en la norma invocada, exigencia que para el acto de molestia deriva del artículo 16, párrafo primero, de la Constitución.</w:t>
      </w:r>
    </w:p>
    <w:p>
      <w:pPr>
        <w:spacing w:line="360" w:lineRule="auto"/>
        <w:jc w:val="both"/>
      </w:pPr>
      <w:r>
        <w:rPr>
          <w:rFonts w:ascii="Arial" w:hAnsi="Arial"/>
          <w:b w:val="0"/>
          <w:i w:val="0"/>
          <w:sz w:val="28"/>
        </w:rPr>
        <w:t>Finalmente, el sistema del juicio contencioso administrativo cierra el razonamiento. La ley ordena que la sentencia resuelva los puntos controvertidos conforme a las pruebas rendidas, y prevé entre las causales de ilegalidad la apreciación indebida de los hechos que motivaron el acto, hipótesis que se ha estimado actualizada en casos análogos cuando la autoridad sostiene su determinación en una lectura equivocada de lo probado. Una determinación presuntiva sostenida en un requisito ajeno al precepto encuadra en esa causal sin necesidad de forzar la lectura.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expediente encuadran en la premisa expuesta. Durante el procedimiento de comprobación y al interponer el recurso administrativo, la parte actora ofreció y exhibió </w:t>
      </w:r>
      <w:r>
        <w:rPr>
          <w:rFonts w:ascii="Arial" w:hAnsi="Arial"/>
          <w:b/>
          <w:i w:val="0"/>
          <w:sz w:val="28"/>
        </w:rPr>
        <w:t>[PRUEBAS OFRECIDAS EN EL PROCEDIMIENTO O EN EL RECURSO]</w:t>
      </w:r>
      <w:r>
        <w:rPr>
          <w:rFonts w:ascii="Arial" w:hAnsi="Arial"/>
          <w:b w:val="0"/>
          <w:i w:val="0"/>
          <w:sz w:val="28"/>
        </w:rPr>
        <w:t xml:space="preserve">, con las que quedó identificado que los depósitos observados corresponden a </w:t>
      </w:r>
      <w:r>
        <w:rPr>
          <w:rFonts w:ascii="Arial" w:hAnsi="Arial"/>
          <w:b/>
          <w:i w:val="0"/>
          <w:sz w:val="28"/>
        </w:rPr>
        <w:t>[ORIGEN REAL DE LOS DEPÓSITOS]</w:t>
      </w:r>
      <w:r>
        <w:rPr>
          <w:rFonts w:ascii="Arial" w:hAnsi="Arial"/>
          <w:b w:val="0"/>
          <w:i w:val="0"/>
          <w:sz w:val="28"/>
        </w:rPr>
        <w:t xml:space="preserve">. Esas constancias obran a </w:t>
      </w:r>
      <w:r>
        <w:rPr>
          <w:rFonts w:ascii="Arial" w:hAnsi="Arial"/>
          <w:b/>
          <w:i w:val="0"/>
          <w:sz w:val="28"/>
        </w:rPr>
        <w:t>[FOJAS DEL EXPEDIENTE ADMINISTRATIVO]</w:t>
      </w:r>
      <w:r>
        <w:rPr>
          <w:rFonts w:ascii="Arial" w:hAnsi="Arial"/>
          <w:b w:val="0"/>
          <w:i w:val="0"/>
          <w:sz w:val="28"/>
        </w:rPr>
        <w:t xml:space="preserve"> y, conforme al artículo 46, fracciones I y III, de la Ley Federal de Procedimiento Contencioso Administrativo, merecen valor probatorio pleno o indiciario según su naturaleza.</w:t>
      </w:r>
    </w:p>
    <w:p>
      <w:pPr>
        <w:spacing w:line="360" w:lineRule="auto"/>
        <w:jc w:val="both"/>
      </w:pPr>
      <w:r>
        <w:rPr>
          <w:rFonts w:ascii="Arial" w:hAnsi="Arial"/>
          <w:b w:val="0"/>
          <w:i w:val="0"/>
          <w:sz w:val="28"/>
        </w:rPr>
        <w:t xml:space="preserve">Pese a ello, la autoridad razonó en la resolución impugnada lo siguiente: </w:t>
      </w:r>
      <w:r>
        <w:rPr>
          <w:rFonts w:ascii="Arial" w:hAnsi="Arial"/>
          <w:b/>
          <w:i w:val="0"/>
          <w:sz w:val="28"/>
        </w:rPr>
        <w:t>[TRANSCRIPCIÓN DEL RAZONAMIENTO DE LA AUTORIDAD]</w:t>
      </w:r>
      <w:r>
        <w:rPr>
          <w:rFonts w:ascii="Arial" w:hAnsi="Arial"/>
          <w:b w:val="0"/>
          <w:i w:val="0"/>
          <w:sz w:val="28"/>
        </w:rPr>
        <w:t>. El eje de esa motivación es que las probanzas resultan insuficientes porque no demuestran el vínculo jurídico con quien hizo los depósitos ni la integración y comprobación de los gastos, esto es, porque no acreditan su materialidad; y de esa insuficiencia, así construida, deriva que la presunción de ingresos permanece firme.</w:t>
      </w:r>
    </w:p>
    <w:p>
      <w:pPr>
        <w:spacing w:line="360" w:lineRule="auto"/>
        <w:jc w:val="both"/>
      </w:pPr>
      <w:r>
        <w:rPr>
          <w:rFonts w:ascii="Arial" w:hAnsi="Arial"/>
          <w:b w:val="0"/>
          <w:i w:val="0"/>
          <w:sz w:val="28"/>
        </w:rPr>
        <w:t>La subsunción es directa. La norma aplicada condiciona la presunción a la falta de registro y soporte documental de los depósitos en la contabilidad, no al acreditamiento de la materialidad de las operaciones; las pruebas ofrecidas identifican el origen de los depósitos; luego la presunción quedó desvirtuada y su mantenimiento obedece a un requisito que la autoridad añadió por su cuenta. Hay, por tanto, indebida aplicación del artículo 59, fracción III, del Código Fiscal de la Federación e indebida apreciación de los hechos.</w:t>
      </w:r>
    </w:p>
    <w:p>
      <w:pPr>
        <w:spacing w:line="360" w:lineRule="auto"/>
        <w:jc w:val="both"/>
      </w:pPr>
      <w:r>
        <w:rPr>
          <w:rFonts w:ascii="Arial" w:hAnsi="Arial"/>
          <w:b w:val="0"/>
          <w:i w:val="0"/>
          <w:sz w:val="28"/>
        </w:rPr>
        <w:t>Ese razonamiento es, además, lógicamente inválido, y conviene nombrar el error. La autoridad incurre en petición de principio, falacia que consiste en postular o tomar como premisa lo que estaba en el principio, es decir, en pretender demostrar por sí mismo lo que no es conocido por sí mismo, con lo que en realidad no se demuestra nada.</w:t>
      </w:r>
      <w:r>
        <w:rPr>
          <w:rFonts w:ascii="Arial" w:hAnsi="Arial"/>
          <w:vertAlign w:val="superscript"/>
        </w:rPr>
        <w:t>6</w:t>
      </w:r>
      <w:r>
        <w:rPr>
          <w:rFonts w:ascii="Arial" w:hAnsi="Arial"/>
          <w:b w:val="0"/>
          <w:i w:val="0"/>
          <w:sz w:val="28"/>
        </w:rPr>
        <w:t xml:space="preserve"> La resolución presupone que los depósitos son ingresos y, desde esa premisa, califica de insuficiente toda prueba que no acredite lo contrario con el estándar que ella misma fija: la conclusión reaparece disfrazada de premisa.</w:t>
      </w:r>
    </w:p>
    <w:p>
      <w:pPr>
        <w:spacing w:line="360" w:lineRule="auto"/>
        <w:jc w:val="both"/>
      </w:pPr>
      <w:r>
        <w:rPr>
          <w:rFonts w:ascii="Arial" w:hAnsi="Arial"/>
          <w:b w:val="0"/>
          <w:i w:val="0"/>
          <w:sz w:val="28"/>
        </w:rPr>
        <w:t>El vicio se agrava cuando la insuficiencia se hace depender de la falta de un contrato escrito. Si los depósitos corresponden al otorgamiento y a la recuperación de préstamos, lo que debe demostrarse es la correspondencia entre las cantidades que salieron de la cuenta y las que después ingresaron a ella, de modo que los elementos aportados permitan vincular una operación con la otra y verificarla.</w:t>
      </w:r>
    </w:p>
    <w:p>
      <w:pPr>
        <w:spacing w:line="360" w:lineRule="auto"/>
        <w:jc w:val="both"/>
      </w:pPr>
      <w:r>
        <w:rPr>
          <w:rFonts w:ascii="Arial" w:hAnsi="Arial"/>
          <w:b w:val="0"/>
          <w:i w:val="0"/>
          <w:sz w:val="28"/>
        </w:rPr>
        <w:t>Para ese fin se ha reconocido en casos análogos que no es indispensable la existencia de un contrato de préstamo, porque el estándar probatorio no debe ir más allá de lo objetivo y razonable en concordancia con la naturaleza de la operación verificada, y porque la efectiva transferencia del numerario se advierte de los propios estados de cuenta. Convertir el contrato en condición de prueba, cuando la ruta del dinero consta en las constancias bancarias, es pedir un extremo desmedido.</w:t>
      </w:r>
    </w:p>
    <w:p>
      <w:pPr>
        <w:spacing w:line="360" w:lineRule="auto"/>
        <w:jc w:val="both"/>
      </w:pPr>
      <w:r>
        <w:rPr>
          <w:rFonts w:ascii="Arial" w:hAnsi="Arial"/>
          <w:b w:val="0"/>
          <w:i w:val="0"/>
          <w:sz w:val="28"/>
        </w:rPr>
        <w:t>A ello se suma la valoración fragmentaria. La autoridad examinó cada documento por separado y lo descartó por lo que aisladamente no demostraba, sin confrontar los papeles de trabajo con los estados de cuenta, los comprobantes de transferencia y las constancias del propio expediente administrativo que obran en su poder. Esa técnica desconoce que los indicios se aprecian en conjunto y que la motivación completa debe pronunciarse sobre todas las pruebas relevantes; al omitirla, la resolución impugnada quedó sin justificación sobre el punto decisivo del asunto.</w:t>
      </w:r>
    </w:p>
    <w:p>
      <w:pPr>
        <w:spacing w:line="360" w:lineRule="auto"/>
        <w:jc w:val="both"/>
      </w:pPr>
      <w:r>
        <w:rPr>
          <w:rFonts w:ascii="Arial" w:hAnsi="Arial"/>
          <w:b w:val="0"/>
          <w:i w:val="0"/>
          <w:sz w:val="28"/>
        </w:rPr>
        <w:t>Conviene precisar el alcance de este concepto para evitar que se tenga por inoperante. No se plantea aquí que la parte actora hubiera informado de los depósitos al Servicio de Administración Tributaria antes del inicio de las facultades de comprobación, supuesto de excepción del párrafo cuarto de la fracción III del artículo 59 del Código Fiscal de la Federación, que constituye un ángulo de ataque independiente y se desarrolla en concepto separado. Lo que aquí se combate es el requisito de materialidad añadido por la autoridad y la valoración fragmentaria de las pruebas.</w:t>
      </w:r>
    </w:p>
    <w:p>
      <w:pPr>
        <w:spacing w:line="360" w:lineRule="auto"/>
        <w:jc w:val="both"/>
      </w:pPr>
      <w:r>
        <w:rPr>
          <w:rFonts w:ascii="Arial" w:hAnsi="Arial"/>
          <w:b w:val="0"/>
          <w:i w:val="0"/>
          <w:sz w:val="28"/>
        </w:rPr>
        <w:t>La consecuencia sistémica de convalidar esa motivación revela el error. Si bastara con que la autoridad calificara de insuficiente cualquier prueba por no demostrar la materialidad de la operación subyacente, la presunción del artículo 59, fracción III, del Código Fiscal de la Federación dejaría de ser relativa y se volvería inatacable en la práctica, pues el contribuyente quedaría obligado a acreditar hechos de terceros y documentos que la ley no le exige conservar. El precepto perdería su carácter de estimativa indirecta para operar como una ficción de ingreso.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determinación presuntiva de ingresos por depósitos bancarios es una presunción relativa cuya refutación sólo requiere que el contribuyente aporte elementos que identifiquen razonablemente el origen de los depósitos; el artículo 59, fracción III, del Código Fiscal de la Federación no impone acreditar la materialidad de las operaciones subyacentes; las pruebas ofrecidas identificaban ese origen; y la autoridad mantuvo la presunción con un requisito ajeno al precepto y con una valoración aislada de cada documento, lo que actualiza la apreciación equivocada de los hechos y la aplicación indebida de la norma.</w:t>
      </w:r>
    </w:p>
    <w:p>
      <w:pPr>
        <w:spacing w:line="360" w:lineRule="auto"/>
        <w:jc w:val="both"/>
      </w:pPr>
      <w:r>
        <w:rPr>
          <w:rFonts w:ascii="Arial" w:hAnsi="Arial"/>
          <w:b w:val="0"/>
          <w:i w:val="0"/>
          <w:sz w:val="28"/>
        </w:rPr>
        <w:t xml:space="preserve">Por lo expuesto, procede declarar fundado el presente concepto de impugnación y, en consecuencia, la nulidad de la resolución impugnada y de la originalmente recurrida, para el efecto de que los depósitos cuyo origen quedó identificado en </w:t>
      </w:r>
      <w:r>
        <w:rPr>
          <w:rFonts w:ascii="Arial" w:hAnsi="Arial"/>
          <w:b/>
          <w:i w:val="0"/>
          <w:sz w:val="28"/>
        </w:rPr>
        <w:t>[ORIGEN REAL DE LOS DEPÓSITOS]</w:t>
      </w:r>
      <w:r>
        <w:rPr>
          <w:rFonts w:ascii="Arial" w:hAnsi="Arial"/>
          <w:b w:val="0"/>
          <w:i w:val="0"/>
          <w:sz w:val="28"/>
        </w:rPr>
        <w:t xml:space="preserve"> se excluyan de la base del impuesto sobre la renta de </w:t>
      </w:r>
      <w:r>
        <w:rPr>
          <w:rFonts w:ascii="Arial" w:hAnsi="Arial"/>
          <w:b/>
          <w:i w:val="0"/>
          <w:sz w:val="28"/>
        </w:rPr>
        <w:t>[EJERCICIOS FISCALES REVISADOS]</w:t>
      </w:r>
      <w:r>
        <w:rPr>
          <w:rFonts w:ascii="Arial" w:hAnsi="Arial"/>
          <w:b w:val="0"/>
          <w:i w:val="0"/>
          <w:sz w:val="28"/>
        </w:rPr>
        <w:t xml:space="preserve"> y de que, en su caso, la autoridad emita una nueva resolución en la que recalcule el impuesto con las precisiones que resulten, explicando de manera detallada las razones de la nueva determinación, dentro del plazo que la ley le concede.</w:t>
      </w:r>
    </w:p>
    <w:p>
      <w:pPr>
        <w:spacing w:line="360" w:lineRule="auto"/>
        <w:jc w:val="both"/>
      </w:pPr>
      <w:r>
        <w:rPr>
          <w:rFonts w:ascii="Arial" w:hAnsi="Arial"/>
          <w:b w:val="0"/>
          <w:i w:val="0"/>
          <w:sz w:val="28"/>
        </w:rPr>
        <w:t>Se solicita que este concepto se examine de manera preferente, pues su acogimiento incide sobre la base misma del crédito fiscal y hace innecesario el estudio de los planteamientos relativos a la cuantificación del impuesto y de sus accesorios.</w:t>
      </w:r>
    </w:p>
    <w:p>
      <w:pPr>
        <w:spacing w:line="360" w:lineRule="auto"/>
        <w:jc w:val="both"/>
      </w:pPr>
      <w:r>
        <w:rPr>
          <w:rFonts w:ascii="Arial" w:hAnsi="Arial"/>
          <w:b w:val="0"/>
          <w:i w:val="0"/>
          <w:sz w:val="28"/>
        </w:rPr>
        <w:t xml:space="preserve">La demanda se presenta ante la </w:t>
      </w:r>
      <w:r>
        <w:rPr>
          <w:rFonts w:ascii="Arial" w:hAnsi="Arial"/>
          <w:b/>
          <w:i w:val="0"/>
          <w:sz w:val="28"/>
        </w:rPr>
        <w:t>[SALA REGIONAL O SALA ESPECIALIZADA COMPETENTE]</w:t>
      </w:r>
      <w:r>
        <w:rPr>
          <w:rFonts w:ascii="Arial" w:hAnsi="Arial"/>
          <w:b w:val="0"/>
          <w:i w:val="0"/>
          <w:sz w:val="28"/>
        </w:rPr>
        <w:t xml:space="preserve"> dentro del plazo legal contado a partir del </w:t>
      </w:r>
      <w:r>
        <w:rPr>
          <w:rFonts w:ascii="Arial" w:hAnsi="Arial"/>
          <w:b/>
          <w:i w:val="0"/>
          <w:sz w:val="28"/>
        </w:rPr>
        <w:t>[FECHA DE NOTIFICACIÓN DE LA RESOLUCIÓN IMPUGNADA]</w:t>
      </w:r>
      <w:r>
        <w:rPr>
          <w:rFonts w:ascii="Arial" w:hAnsi="Arial"/>
          <w:b w:val="0"/>
          <w:i w:val="0"/>
          <w:sz w:val="28"/>
        </w:rPr>
        <w:t xml:space="preserve">: treinta días en el juicio ordinario, conforme al artículo 13, fracción I, de la Ley Federal de Procedimiento Contencioso Administrativo, y también treinta días en la vía sumaria, conforme al artículo 58-2, párrafo tercero, de esa misma ley; si se opta por el juicio de resolución exclusiva de fondo, </w:t>
      </w:r>
      <w:r>
        <w:rPr>
          <w:rFonts w:ascii="Arial" w:hAnsi="Arial"/>
          <w:b/>
          <w:i w:val="0"/>
          <w:sz w:val="28"/>
        </w:rPr>
        <w:t>[VERIFICAR PLAZO APLICABLE]</w:t>
      </w:r>
      <w:r>
        <w:rPr>
          <w:rFonts w:ascii="Arial" w:hAnsi="Arial"/>
          <w:b w:val="0"/>
          <w:i w:val="0"/>
          <w:sz w:val="28"/>
        </w:rPr>
        <w:t xml:space="preserve"> antes de presentar la demanda.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208.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GAMA LEYVA, op. cit.</w:t>
      </w:r>
      <w:r>
        <w:rPr>
          <w:rFonts w:ascii="Arial" w:hAnsi="Arial"/>
          <w:i w:val="0"/>
          <w:sz w:val="20"/>
        </w:rPr>
        <w:t>, p. 83.</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GAMA LEYVA, op. cit.</w:t>
      </w:r>
      <w:r>
        <w:rPr>
          <w:rFonts w:ascii="Arial" w:hAnsi="Arial"/>
          <w:i w:val="0"/>
          <w:sz w:val="20"/>
        </w:rPr>
        <w:t>, p. 114.</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 p. 91.</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 p. 180.</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
      <w:r>
        <w:rPr>
          <w:rFonts w:ascii="Arial" w:hAnsi="Arial"/>
          <w:b/>
          <w:sz w:val="22"/>
        </w:rPr>
        <w:t>BIBLIOGRAFÍA</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TARUFFO, Michele, </w:t>
      </w:r>
      <w:r>
        <w:rPr>
          <w:rFonts w:ascii="Arial" w:hAnsi="Arial"/>
          <w:i/>
          <w:sz w:val="20"/>
        </w:rPr>
        <w:t>Verdad, prueba y motivación en la decisión sobre los hechos</w:t>
      </w:r>
      <w:r>
        <w:rPr>
          <w:rFonts w:ascii="Arial" w:hAnsi="Arial"/>
          <w:i w:val="0"/>
          <w:sz w:val="20"/>
        </w:rPr>
        <w:t>, Tribunal Electoral del Poder Judicial de la Federación, México, 2013.</w:t>
      </w:r>
    </w:p>
    <w:p>
      <w:pPr>
        <w:spacing w:after="60"/>
        <w:ind w:left="360" w:hanging="360"/>
        <w:jc w:val="both"/>
      </w:pPr>
      <w:r>
        <w:rPr>
          <w:rFonts w:ascii="Arial" w:hAnsi="Arial"/>
          <w:i w:val="0"/>
          <w:sz w:val="20"/>
        </w:rPr>
        <w:t xml:space="preserve">TRON PETIT, Jean Claude, </w:t>
      </w:r>
      <w:r>
        <w:rPr>
          <w:rFonts w:ascii="Arial" w:hAnsi="Arial"/>
          <w:i/>
          <w:sz w:val="20"/>
        </w:rPr>
        <w:t>Argumentación en el amparo. Esquema formal de los conceptos de violación y las sentencias de amparo</w:t>
      </w:r>
      <w:r>
        <w:rPr>
          <w:rFonts w:ascii="Arial" w:hAnsi="Arial"/>
          <w:i w:val="0"/>
          <w:sz w:val="20"/>
        </w:rPr>
        <w:t>, Porrúa, México, 2009.</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