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EFECTIVO PAGO DEL IVA ACREDITABLE EN LA DEVOLUCIÓN DE SALDO A FAVOR</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como concepto de impugnación de tu demanda de nulidad. Antes de llenar los campos arma tu expediente de prueba con el contrato, el comprobante fiscal y su complemento de pago, el estado de cuenta del mes, el comprobante electrónico de la transferencia, el papel de trabajo del IVA acreditable, la declaración del periodo, la solicitud de devolución y la declaración en que enteraste la retención.</w:t>
      </w:r>
    </w:p>
    <w:p>
      <w:pPr>
        <w:spacing w:line="360" w:lineRule="auto"/>
        <w:jc w:val="both"/>
      </w:pPr>
      <w:r>
        <w:rPr>
          <w:rFonts w:ascii="Arial" w:hAnsi="Arial"/>
          <w:b w:val="0"/>
          <w:i w:val="0"/>
          <w:sz w:val="24"/>
        </w:rPr>
        <w:t>Haz la conciliación en hoja de cálculo hasta que la base, el IVA y las retenciones cuadren con lo transferido; si además hubo retención de IVA, inclúyela, y si queda una diferencia de centavos por redondeo, explícala. Coteja el texto del artículo 5o., primer párrafo, fracción III, de la Ley del Impuesto al Valor Agregado vigente en tu periodo y el precepto que impuso la retención, y ofrece la pericial contable con preguntas sobre proveedor, operación, IVA, fecha de pago y saldo a favor.</w:t>
      </w:r>
    </w:p>
    <w:p>
      <w:pPr>
        <w:spacing w:line="360" w:lineRule="auto"/>
        <w:jc w:val="both"/>
      </w:pPr>
      <w:r>
        <w:rPr>
          <w:rFonts w:ascii="Arial" w:hAnsi="Arial"/>
          <w:b w:val="0"/>
          <w:i w:val="0"/>
          <w:sz w:val="24"/>
        </w:rPr>
        <w:t>Define la vía antes de presentar. Desde la reforma de 9 de junio de 2026, la fracción VI del artículo 58-2 de la Ley Federal de Procedimiento Contencioso Administrativo manda a la vía sumaria las resoluciones que responden solicitudes de devolución, así que verifica si la tuya, incluida la que resuelve un recurso, queda en ese supuesto y dentro del tope de cuantía del primer párrafo de ese artículo. La demanda se presenta en treinta días en cualquiera de las dos vías (artículo 13, fracción I, en la ordinaria y artículo 58-2, párrafo tercero, en la sumaria), y la vía incorrecta no provoca el desechamiento, porque la Magistrada Instructora o el Magistrado Instructor debe reconducir el juicio. Elimina los párrafos que no correspondan a tu caso.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Y FECHA DEL OFICIO IMPUGNADO]</w:t>
      </w:r>
      <w:r>
        <w:rPr>
          <w:rFonts w:ascii="Arial" w:hAnsi="Arial"/>
          <w:b w:val="0"/>
          <w:i w:val="0"/>
          <w:sz w:val="24"/>
        </w:rPr>
        <w:t>: número y fecha del oficio que resolvió el recurso de revocación.</w:t>
      </w:r>
    </w:p>
    <w:p>
      <w:pPr>
        <w:spacing w:line="360" w:lineRule="auto"/>
        <w:jc w:val="both"/>
      </w:pPr>
      <w:r>
        <w:rPr>
          <w:rFonts w:ascii="Arial" w:hAnsi="Arial"/>
          <w:b/>
          <w:i w:val="0"/>
          <w:sz w:val="24"/>
        </w:rPr>
        <w:t>[AUTORIDAD DEMANDADA]</w:t>
      </w:r>
      <w:r>
        <w:rPr>
          <w:rFonts w:ascii="Arial" w:hAnsi="Arial"/>
          <w:b w:val="0"/>
          <w:i w:val="0"/>
          <w:sz w:val="24"/>
        </w:rPr>
        <w:t>: la unidad administrativa que emitió la resolución impugnada, con su denominación completa.</w:t>
      </w:r>
    </w:p>
    <w:p>
      <w:pPr>
        <w:spacing w:line="360" w:lineRule="auto"/>
        <w:jc w:val="both"/>
      </w:pPr>
      <w:r>
        <w:rPr>
          <w:rFonts w:ascii="Arial" w:hAnsi="Arial"/>
          <w:b/>
          <w:i w:val="0"/>
          <w:sz w:val="24"/>
        </w:rPr>
        <w:t>[NÚMERO Y FECHA DEL OFICIO RECURRIDO]</w:t>
      </w:r>
      <w:r>
        <w:rPr>
          <w:rFonts w:ascii="Arial" w:hAnsi="Arial"/>
          <w:b w:val="0"/>
          <w:i w:val="0"/>
          <w:sz w:val="24"/>
        </w:rPr>
        <w:t>: número y fecha del oficio que autorizó parcialmente la devolución.</w:t>
      </w:r>
    </w:p>
    <w:p>
      <w:pPr>
        <w:spacing w:line="360" w:lineRule="auto"/>
        <w:jc w:val="both"/>
      </w:pPr>
      <w:r>
        <w:rPr>
          <w:rFonts w:ascii="Arial" w:hAnsi="Arial"/>
          <w:b/>
          <w:i w:val="0"/>
          <w:sz w:val="24"/>
        </w:rPr>
        <w:t>[PERIODO DEL SALDO A FAVOR]</w:t>
      </w:r>
      <w:r>
        <w:rPr>
          <w:rFonts w:ascii="Arial" w:hAnsi="Arial"/>
          <w:b w:val="0"/>
          <w:i w:val="0"/>
          <w:sz w:val="24"/>
        </w:rPr>
        <w:t>: el mes y el año del saldo a favor de IVA que solicitaste.</w:t>
      </w:r>
    </w:p>
    <w:p>
      <w:pPr>
        <w:spacing w:line="360" w:lineRule="auto"/>
        <w:jc w:val="both"/>
      </w:pPr>
      <w:r>
        <w:rPr>
          <w:rFonts w:ascii="Arial" w:hAnsi="Arial"/>
          <w:b/>
          <w:i w:val="0"/>
          <w:sz w:val="24"/>
        </w:rPr>
        <w:t>[MONTO SOLICITADO EN DEVOLUCIÓN]</w:t>
      </w:r>
      <w:r>
        <w:rPr>
          <w:rFonts w:ascii="Arial" w:hAnsi="Arial"/>
          <w:b w:val="0"/>
          <w:i w:val="0"/>
          <w:sz w:val="24"/>
        </w:rPr>
        <w:t>: el saldo a favor total que pediste, como aparece en la solicitud.</w:t>
      </w:r>
    </w:p>
    <w:p>
      <w:pPr>
        <w:spacing w:line="360" w:lineRule="auto"/>
        <w:jc w:val="both"/>
      </w:pPr>
      <w:r>
        <w:rPr>
          <w:rFonts w:ascii="Arial" w:hAnsi="Arial"/>
          <w:b/>
          <w:i w:val="0"/>
          <w:sz w:val="24"/>
        </w:rPr>
        <w:t>[MONTO AUTORIZADO]</w:t>
      </w:r>
      <w:r>
        <w:rPr>
          <w:rFonts w:ascii="Arial" w:hAnsi="Arial"/>
          <w:b w:val="0"/>
          <w:i w:val="0"/>
          <w:sz w:val="24"/>
        </w:rPr>
        <w:t>: la cantidad que la autoridad sí autorizó.</w:t>
      </w:r>
    </w:p>
    <w:p>
      <w:pPr>
        <w:spacing w:line="360" w:lineRule="auto"/>
        <w:jc w:val="both"/>
      </w:pPr>
      <w:r>
        <w:rPr>
          <w:rFonts w:ascii="Arial" w:hAnsi="Arial"/>
          <w:b/>
          <w:i w:val="0"/>
          <w:sz w:val="24"/>
        </w:rPr>
        <w:t>[MONTO DEL IVA ACREDITABLE RECHAZADO]</w:t>
      </w:r>
      <w:r>
        <w:rPr>
          <w:rFonts w:ascii="Arial" w:hAnsi="Arial"/>
          <w:b w:val="0"/>
          <w:i w:val="0"/>
          <w:sz w:val="24"/>
        </w:rPr>
        <w:t>: la diferencia rechazada por falta de efectivo pago, con número y letra.</w:t>
      </w:r>
    </w:p>
    <w:p>
      <w:pPr>
        <w:spacing w:line="360" w:lineRule="auto"/>
        <w:jc w:val="both"/>
      </w:pPr>
      <w:r>
        <w:rPr>
          <w:rFonts w:ascii="Arial" w:hAnsi="Arial"/>
          <w:b/>
          <w:i w:val="0"/>
          <w:sz w:val="24"/>
        </w:rPr>
        <w:t>[PROVEEDOR QUE TRASLADÓ EL IVA]</w:t>
      </w:r>
      <w:r>
        <w:rPr>
          <w:rFonts w:ascii="Arial" w:hAnsi="Arial"/>
          <w:b w:val="0"/>
          <w:i w:val="0"/>
          <w:sz w:val="24"/>
        </w:rPr>
        <w:t>: nombre o razón social y RFC del proveedor que realmente te trasladó el impuesto rechazado.</w:t>
      </w:r>
    </w:p>
    <w:p>
      <w:pPr>
        <w:spacing w:line="360" w:lineRule="auto"/>
        <w:jc w:val="both"/>
      </w:pPr>
      <w:r>
        <w:rPr>
          <w:rFonts w:ascii="Arial" w:hAnsi="Arial"/>
          <w:b/>
          <w:i w:val="0"/>
          <w:sz w:val="24"/>
        </w:rPr>
        <w:t>[PROVEEDOR AL QUE LA AUTORIDAD ATRIBUYÓ EL IVA]</w:t>
      </w:r>
      <w:r>
        <w:rPr>
          <w:rFonts w:ascii="Arial" w:hAnsi="Arial"/>
          <w:b w:val="0"/>
          <w:i w:val="0"/>
          <w:sz w:val="24"/>
        </w:rPr>
        <w:t>: el proveedor cuya operación examinó la autoridad, tal como aparece en el oficio.</w:t>
      </w:r>
    </w:p>
    <w:p>
      <w:pPr>
        <w:spacing w:line="360" w:lineRule="auto"/>
        <w:jc w:val="both"/>
      </w:pPr>
      <w:r>
        <w:rPr>
          <w:rFonts w:ascii="Arial" w:hAnsi="Arial"/>
          <w:b/>
          <w:i w:val="0"/>
          <w:sz w:val="24"/>
        </w:rPr>
        <w:t>[CONTRATO, CFDI Y COMPLEMENTO DE PAGO DE LA OPERACIÓN]</w:t>
      </w:r>
      <w:r>
        <w:rPr>
          <w:rFonts w:ascii="Arial" w:hAnsi="Arial"/>
          <w:b w:val="0"/>
          <w:i w:val="0"/>
          <w:sz w:val="24"/>
        </w:rPr>
        <w:t>: fecha del contrato, folio fiscal del comprobante y del complemento de pago.</w:t>
      </w:r>
    </w:p>
    <w:p>
      <w:pPr>
        <w:spacing w:line="360" w:lineRule="auto"/>
        <w:jc w:val="both"/>
      </w:pPr>
      <w:r>
        <w:rPr>
          <w:rFonts w:ascii="Arial" w:hAnsi="Arial"/>
          <w:b/>
          <w:i w:val="0"/>
          <w:sz w:val="24"/>
        </w:rPr>
        <w:t>[FECHA Y MONTO DE LA TRANSFERENCIA]</w:t>
      </w:r>
      <w:r>
        <w:rPr>
          <w:rFonts w:ascii="Arial" w:hAnsi="Arial"/>
          <w:b w:val="0"/>
          <w:i w:val="0"/>
          <w:sz w:val="24"/>
        </w:rPr>
        <w:t>: fecha e importe exactos del pago, como aparecen en el estado de cuenta.</w:t>
      </w:r>
    </w:p>
    <w:p>
      <w:pPr>
        <w:spacing w:line="360" w:lineRule="auto"/>
        <w:jc w:val="both"/>
      </w:pPr>
      <w:r>
        <w:rPr>
          <w:rFonts w:ascii="Arial" w:hAnsi="Arial"/>
          <w:b/>
          <w:i w:val="0"/>
          <w:sz w:val="24"/>
        </w:rPr>
        <w:t>[BASE GRAVABLE, IVA TRASLADADO Y RETENCIONES DE LA OPERACIÓN]</w:t>
      </w:r>
      <w:r>
        <w:rPr>
          <w:rFonts w:ascii="Arial" w:hAnsi="Arial"/>
          <w:b w:val="0"/>
          <w:i w:val="0"/>
          <w:sz w:val="24"/>
        </w:rPr>
        <w:t>: la conciliación completa (base más IVA menos cada retención igual a lo transferido), hecha en hoja de cálculo y revisada al centavo.</w:t>
      </w:r>
    </w:p>
    <w:p>
      <w:pPr>
        <w:spacing w:line="360" w:lineRule="auto"/>
        <w:jc w:val="both"/>
      </w:pPr>
      <w:r>
        <w:rPr>
          <w:rFonts w:ascii="Arial" w:hAnsi="Arial"/>
          <w:b/>
          <w:i w:val="0"/>
          <w:sz w:val="24"/>
        </w:rPr>
        <w:t>[PRECEPTO QUE IMPONE LA RETENCIÓN]</w:t>
      </w:r>
      <w:r>
        <w:rPr>
          <w:rFonts w:ascii="Arial" w:hAnsi="Arial"/>
          <w:b w:val="0"/>
          <w:i w:val="0"/>
          <w:sz w:val="24"/>
        </w:rPr>
        <w:t>: el artículo de la Ley del Impuesto sobre la Renta vigente en tu periodo que obligó a retener; en el caso que inspira el machote la Sala aplicó el artículo 126 de esa ley vigente en 2021, con retención del 20 %. Cotéjalo antes de usarlo.</w:t>
      </w:r>
    </w:p>
    <w:p/>
    <w:p>
      <w:pPr>
        <w:spacing w:line="360" w:lineRule="auto"/>
        <w:jc w:val="both"/>
      </w:pPr>
      <w:r>
        <w:rPr>
          <w:rFonts w:ascii="Arial" w:hAnsi="Arial"/>
          <w:b/>
          <w:sz w:val="28"/>
        </w:rPr>
        <w:t>[NÚMERO ORDINAL DEL CONCEPTO] CONCEPTO DE IMPUGNACIÓN. El impuesto al valor agregado acreditable sí se pagó efectivamente en el mes, pues la autoridad lo atribuyó a una operación y a un proveedor distintos de aquellos de los que proviene, apreció en forma equivocada los hechos y aplicó indebidamente el artículo 5o., primer párrafo, fracción III, de la Ley del Impuesto al Valor Agregado, con lo que se actualiza la causal de nulidad prevista en el numeral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Y FECHA DEL OFICIO IMPUGNADO]</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al resolver el recurso de revocación, y el acto recurrido, identificado como </w:t>
      </w:r>
      <w:r>
        <w:rPr>
          <w:rFonts w:ascii="Arial" w:hAnsi="Arial"/>
          <w:b/>
          <w:i w:val="0"/>
          <w:sz w:val="28"/>
        </w:rPr>
        <w:t>[NÚMERO Y FECHA DEL OFICIO RECURRIDO]</w:t>
      </w:r>
      <w:r>
        <w:rPr>
          <w:rFonts w:ascii="Arial" w:hAnsi="Arial"/>
          <w:b w:val="0"/>
          <w:i w:val="0"/>
          <w:sz w:val="28"/>
        </w:rPr>
        <w:t xml:space="preserve">, son ilegales en cuanto negaron la devolución de </w:t>
      </w:r>
      <w:r>
        <w:rPr>
          <w:rFonts w:ascii="Arial" w:hAnsi="Arial"/>
          <w:b/>
          <w:i w:val="0"/>
          <w:sz w:val="28"/>
        </w:rPr>
        <w:t>[MONTO DEL IVA ACREDITABLE RECHAZADO]</w:t>
      </w:r>
      <w:r>
        <w:rPr>
          <w:rFonts w:ascii="Arial" w:hAnsi="Arial"/>
          <w:b w:val="0"/>
          <w:i w:val="0"/>
          <w:sz w:val="28"/>
        </w:rPr>
        <w:t xml:space="preserve"> del saldo a favor del impuesto al valor agregado de </w:t>
      </w:r>
      <w:r>
        <w:rPr>
          <w:rFonts w:ascii="Arial" w:hAnsi="Arial"/>
          <w:b/>
          <w:i w:val="0"/>
          <w:sz w:val="28"/>
        </w:rPr>
        <w:t>[PERIODO DEL SALDO A FAVOR]</w:t>
      </w:r>
      <w:r>
        <w:rPr>
          <w:rFonts w:ascii="Arial" w:hAnsi="Arial"/>
          <w:b w:val="0"/>
          <w:i w:val="0"/>
          <w:sz w:val="28"/>
        </w:rPr>
        <w:t>. La negativa se apoyó en que esa porción del tributo no se cubrió en el mes, cuando la autoridad examinó la erogación hecha a un proveedor diverso de aquel que trasladó el gravamen rechazado.</w:t>
      </w:r>
    </w:p>
    <w:p>
      <w:pPr>
        <w:spacing w:line="360" w:lineRule="auto"/>
        <w:jc w:val="both"/>
      </w:pPr>
      <w:r>
        <w:rPr>
          <w:rFonts w:ascii="Arial" w:hAnsi="Arial"/>
          <w:b w:val="0"/>
          <w:i w:val="0"/>
          <w:sz w:val="28"/>
        </w:rPr>
        <w:t xml:space="preserve">La demostración descansa en tres datos que el expediente administrativo ya contenía, que son la identidad de la operación que generó el impuesto, consistente en la adquisición celebrada con </w:t>
      </w:r>
      <w:r>
        <w:rPr>
          <w:rFonts w:ascii="Arial" w:hAnsi="Arial"/>
          <w:b/>
          <w:i w:val="0"/>
          <w:sz w:val="28"/>
        </w:rPr>
        <w:t>[PROVEEDOR QUE TRASLADÓ EL IVA]</w:t>
      </w:r>
      <w:r>
        <w:rPr>
          <w:rFonts w:ascii="Arial" w:hAnsi="Arial"/>
          <w:b w:val="0"/>
          <w:i w:val="0"/>
          <w:sz w:val="28"/>
        </w:rPr>
        <w:t xml:space="preserve">, diversa de la que la autoridad examinó con </w:t>
      </w:r>
      <w:r>
        <w:rPr>
          <w:rFonts w:ascii="Arial" w:hAnsi="Arial"/>
          <w:b/>
          <w:i w:val="0"/>
          <w:sz w:val="28"/>
        </w:rPr>
        <w:t>[PROVEEDOR AL QUE LA AUTORIDAD ATRIBUYÓ EL IVA]</w:t>
      </w:r>
      <w:r>
        <w:rPr>
          <w:rFonts w:ascii="Arial" w:hAnsi="Arial"/>
          <w:b w:val="0"/>
          <w:i w:val="0"/>
          <w:sz w:val="28"/>
        </w:rPr>
        <w:t xml:space="preserve">; el pago de esa compra dentro del mes, mediante la transferencia de </w:t>
      </w:r>
      <w:r>
        <w:rPr>
          <w:rFonts w:ascii="Arial" w:hAnsi="Arial"/>
          <w:b/>
          <w:i w:val="0"/>
          <w:sz w:val="28"/>
        </w:rPr>
        <w:t>[FECHA Y MONTO DE LA TRANSFERENCIA]</w:t>
      </w:r>
      <w:r>
        <w:rPr>
          <w:rFonts w:ascii="Arial" w:hAnsi="Arial"/>
          <w:b w:val="0"/>
          <w:i w:val="0"/>
          <w:sz w:val="28"/>
        </w:rPr>
        <w:t>; y una conciliación que cuadra al centavo la base, el gravamen trasladado y las retenciones que la ley obliga a practicar.</w:t>
      </w:r>
    </w:p>
    <w:p>
      <w:pPr>
        <w:spacing w:line="360" w:lineRule="auto"/>
        <w:jc w:val="both"/>
      </w:pPr>
      <w:r>
        <w:rPr>
          <w:rFonts w:ascii="Arial" w:hAnsi="Arial"/>
          <w:b w:val="0"/>
          <w:i w:val="0"/>
          <w:sz w:val="28"/>
        </w:rPr>
        <w:t>Acreditados esos extremos, el requisito de efectivo pago queda satisfecho, la negativa parcial pierde todo sustento y procede declarar la nulidad de ambas resoluciones con reconocimiento del derecho subjetivo de la parte actora a la devolución de la diferencia, actualizada y con los intereses que la ley ordena, en términos de los artículos 50, 51, fracción IV, y 52, fracciones II y V, inciso a), de la Ley Federal de Procedimiento Contencioso Administrativo.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impugnado es la resolución contenida en el oficio </w:t>
      </w:r>
      <w:r>
        <w:rPr>
          <w:rFonts w:ascii="Arial" w:hAnsi="Arial"/>
          <w:b/>
          <w:i w:val="0"/>
          <w:sz w:val="28"/>
        </w:rPr>
        <w:t>[NÚMERO Y FECHA DEL OFICIO IMPUGNADO]</w:t>
      </w:r>
      <w:r>
        <w:rPr>
          <w:rFonts w:ascii="Arial" w:hAnsi="Arial"/>
          <w:b w:val="0"/>
          <w:i w:val="0"/>
          <w:sz w:val="28"/>
        </w:rPr>
        <w:t xml:space="preserve">, que confirmó la diversa </w:t>
      </w:r>
      <w:r>
        <w:rPr>
          <w:rFonts w:ascii="Arial" w:hAnsi="Arial"/>
          <w:b/>
          <w:i w:val="0"/>
          <w:sz w:val="28"/>
        </w:rPr>
        <w:t>[NÚMERO Y FECHA DEL OFICIO RECURRIDO]</w:t>
      </w:r>
      <w:r>
        <w:rPr>
          <w:rFonts w:ascii="Arial" w:hAnsi="Arial"/>
          <w:b w:val="0"/>
          <w:i w:val="0"/>
          <w:sz w:val="28"/>
        </w:rPr>
        <w:t xml:space="preserve">, por la cual la autoridad fiscal autorizó sólo </w:t>
      </w:r>
      <w:r>
        <w:rPr>
          <w:rFonts w:ascii="Arial" w:hAnsi="Arial"/>
          <w:b/>
          <w:i w:val="0"/>
          <w:sz w:val="28"/>
        </w:rPr>
        <w:t>[MONTO AUTORIZADO]</w:t>
      </w:r>
      <w:r>
        <w:rPr>
          <w:rFonts w:ascii="Arial" w:hAnsi="Arial"/>
          <w:b w:val="0"/>
          <w:i w:val="0"/>
          <w:sz w:val="28"/>
        </w:rPr>
        <w:t xml:space="preserve"> de los </w:t>
      </w:r>
      <w:r>
        <w:rPr>
          <w:rFonts w:ascii="Arial" w:hAnsi="Arial"/>
          <w:b/>
          <w:i w:val="0"/>
          <w:sz w:val="28"/>
        </w:rPr>
        <w:t>[MONTO SOLICITADO EN DEVOLUCIÓN]</w:t>
      </w:r>
      <w:r>
        <w:rPr>
          <w:rFonts w:ascii="Arial" w:hAnsi="Arial"/>
          <w:b w:val="0"/>
          <w:i w:val="0"/>
          <w:sz w:val="28"/>
        </w:rPr>
        <w:t xml:space="preserve"> pedidos como saldo a favor del impuesto al valor agregado de </w:t>
      </w:r>
      <w:r>
        <w:rPr>
          <w:rFonts w:ascii="Arial" w:hAnsi="Arial"/>
          <w:b/>
          <w:i w:val="0"/>
          <w:sz w:val="28"/>
        </w:rPr>
        <w:t>[PERIODO DEL SALDO A FAVOR]</w:t>
      </w:r>
      <w:r>
        <w:rPr>
          <w:rFonts w:ascii="Arial" w:hAnsi="Arial"/>
          <w:b w:val="0"/>
          <w:i w:val="0"/>
          <w:sz w:val="28"/>
        </w:rPr>
        <w:t xml:space="preserve"> y rechazó el acreditamiento de </w:t>
      </w:r>
      <w:r>
        <w:rPr>
          <w:rFonts w:ascii="Arial" w:hAnsi="Arial"/>
          <w:b/>
          <w:i w:val="0"/>
          <w:sz w:val="28"/>
        </w:rPr>
        <w:t>[MONTO DEL IVA ACREDITABLE RECHAZADO]</w:t>
      </w:r>
      <w:r>
        <w:rPr>
          <w:rFonts w:ascii="Arial" w:hAnsi="Arial"/>
          <w:b w:val="0"/>
          <w:i w:val="0"/>
          <w:sz w:val="28"/>
        </w:rPr>
        <w:t xml:space="preserve"> por estimar que no se comprobó su efectivo pago dentro de ese mes.</w:t>
      </w:r>
    </w:p>
    <w:p>
      <w:pPr>
        <w:spacing w:line="360" w:lineRule="auto"/>
        <w:jc w:val="both"/>
      </w:pPr>
      <w:r>
        <w:rPr>
          <w:rFonts w:ascii="Arial" w:hAnsi="Arial"/>
          <w:b w:val="0"/>
          <w:i w:val="0"/>
          <w:sz w:val="28"/>
        </w:rPr>
        <w:t xml:space="preserve">La norma cuya indebida aplicación se plantea es el artículo 5o., primer párrafo, fracción III, de la Ley del Impuesto al Valor Agregado, en el texto vigente en </w:t>
      </w:r>
      <w:r>
        <w:rPr>
          <w:rFonts w:ascii="Arial" w:hAnsi="Arial"/>
          <w:b/>
          <w:i w:val="0"/>
          <w:sz w:val="28"/>
        </w:rPr>
        <w:t>[PERIODO DEL SALDO A FAVOR]</w:t>
      </w:r>
      <w:r>
        <w:rPr>
          <w:rFonts w:ascii="Arial" w:hAnsi="Arial"/>
          <w:b w:val="0"/>
          <w:i w:val="0"/>
          <w:sz w:val="28"/>
        </w:rPr>
        <w:t xml:space="preserve">, que para tener por acreditable el tributo exige </w:t>
      </w:r>
      <w:r>
        <w:rPr>
          <w:rFonts w:ascii="Arial" w:hAnsi="Arial"/>
          <w:b w:val="0"/>
          <w:i/>
          <w:sz w:val="28"/>
        </w:rPr>
        <w:t>“Que el impuesto al valor agregado trasladado al contribuyente haya sido efectivamente pagado en el mes de que se trate”</w:t>
      </w:r>
      <w:r>
        <w:rPr>
          <w:rFonts w:ascii="Arial" w:hAnsi="Arial"/>
          <w:b w:val="0"/>
          <w:i w:val="0"/>
          <w:sz w:val="28"/>
        </w:rPr>
        <w:t>, requisito que se refiere a un hecho concreto, el pago de una operación determinada, y que sólo puede tenerse por incumplido después de identificar correctamente cuál es esa transacción.</w:t>
      </w:r>
    </w:p>
    <w:p>
      <w:pPr>
        <w:spacing w:line="360" w:lineRule="auto"/>
        <w:jc w:val="both"/>
      </w:pPr>
      <w:r>
        <w:rPr>
          <w:rFonts w:ascii="Arial" w:hAnsi="Arial"/>
          <w:b w:val="0"/>
          <w:i w:val="0"/>
          <w:sz w:val="28"/>
        </w:rPr>
        <w:t xml:space="preserve">Se plantea, asimismo, la violación del artículo 16, primer párrafo, de la Constitución Política de los Estados Unidos Mexicanos, que obliga a fundar y motivar la causa legal de todo acto de molestia, y la del numeral 51, fracción IV, de la Ley Federal de Procedimiento Contencioso Administrativo, que tiene por ilegal la resolución cuando </w:t>
      </w:r>
      <w:r>
        <w:rPr>
          <w:rFonts w:ascii="Arial" w:hAnsi="Arial"/>
          <w:b w:val="0"/>
          <w:i/>
          <w:sz w:val="28"/>
        </w:rPr>
        <w:t>“los hechos que la motivaron no se realizaron, fueron distintos o se apreciaron en forma equivocada, o bien si se dictó en contravención de las disposiciones aplicadas o dejó de aplicar las debidas”</w:t>
      </w:r>
      <w:r>
        <w:rPr>
          <w:rFonts w:ascii="Arial" w:hAnsi="Arial"/>
          <w:b w:val="0"/>
          <w:i w:val="0"/>
          <w:sz w:val="28"/>
        </w:rPr>
        <w:t>.</w:t>
      </w:r>
    </w:p>
    <w:p>
      <w:pPr>
        <w:spacing w:line="360" w:lineRule="auto"/>
        <w:jc w:val="both"/>
      </w:pPr>
      <w:r>
        <w:rPr>
          <w:rFonts w:ascii="Arial" w:hAnsi="Arial"/>
          <w:b w:val="0"/>
          <w:i w:val="0"/>
          <w:sz w:val="28"/>
        </w:rPr>
        <w:t xml:space="preserve">El perjuicio es directo y cuantificable, porque la negativa priva a la parte actora de </w:t>
      </w:r>
      <w:r>
        <w:rPr>
          <w:rFonts w:ascii="Arial" w:hAnsi="Arial"/>
          <w:b/>
          <w:i w:val="0"/>
          <w:sz w:val="28"/>
        </w:rPr>
        <w:t>[MONTO DEL IVA ACREDITABLE RECHAZADO]</w:t>
      </w:r>
      <w:r>
        <w:rPr>
          <w:rFonts w:ascii="Arial" w:hAnsi="Arial"/>
          <w:b w:val="0"/>
          <w:i w:val="0"/>
          <w:sz w:val="28"/>
        </w:rPr>
        <w:t>, más su actualización y sus intereses, por un gravamen que soportó y cubrió en el mes. Como el acto impugnado resolvió un recurso de revocación, el artículo 50, cuarto párrafo, de la ley procesal obliga a esa Sala a pronunciarse también sobre la legalidad de la resolución recurrida, en la parte que no satisfizo el interés jurídico de la demandante, cuando cuente con elementos suficientes, que en este caso obran en el expediente administrativo y en las pruebas que se ofrecen.</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El efectivo pago que exige la fracción III del artículo 5o. de la Ley del Impuesto al Valor Agregado es un requisito de hecho que se predica de cada transacción en particular, porque el tributo acreditable es el que un proveedor concreto trasladó por un acto o actividad específico y se tiene por cubierto cuando, dentro del mes, la persona adquirente pagó a ese proveedor la contraprestación junto con el gravamen; de ahí que su verificación exija enlazar el comprobante que documenta el traslado, la operación que lo origina y el desembolso que la extingue.</w:t>
      </w:r>
    </w:p>
    <w:p>
      <w:pPr>
        <w:spacing w:line="360" w:lineRule="auto"/>
        <w:jc w:val="both"/>
      </w:pPr>
      <w:r>
        <w:rPr>
          <w:rFonts w:ascii="Arial" w:hAnsi="Arial"/>
          <w:b w:val="0"/>
          <w:i w:val="0"/>
          <w:sz w:val="28"/>
        </w:rPr>
        <w:t>La comprobación del pago integra la base de hecho de la decisión administrativa y, como explica Gascón Abellán, justificar la premisa fáctica consiste en aportar las razones que acreditan su corrección mediante una valoración racional de las pruebas disponibles, de manera que la resolución que tiene por no cubierto un tributo sin haber identificado antes la transacción a la que pertenece carece de justificación en el punto mismo que decide el asunto.</w:t>
      </w:r>
      <w:r>
        <w:rPr>
          <w:rFonts w:ascii="Arial" w:hAnsi="Arial"/>
          <w:vertAlign w:val="superscript"/>
        </w:rPr>
        <w:t>1</w:t>
      </w:r>
    </w:p>
    <w:p>
      <w:pPr>
        <w:spacing w:line="360" w:lineRule="auto"/>
        <w:jc w:val="both"/>
      </w:pPr>
      <w:r>
        <w:rPr>
          <w:rFonts w:ascii="Arial" w:hAnsi="Arial"/>
          <w:b w:val="0"/>
          <w:i w:val="0"/>
          <w:sz w:val="28"/>
        </w:rPr>
        <w:t>Ferrer Beltrán advierte que quien decide se equivoca en la selección de las premisas fácticas cuando tiene por justificada una aceptación que no lo estaba, porque los hechos ocurrieron de otro modo y así lo indicaban los elementos de juicio disponibles, error en que incurre la autoridad que, con el contrato, el comprobante fiscal y el estado de cuenta de una operación a la vista, razona sobre otra.</w:t>
      </w:r>
      <w:r>
        <w:rPr>
          <w:rFonts w:ascii="Arial" w:hAnsi="Arial"/>
          <w:vertAlign w:val="superscript"/>
        </w:rPr>
        <w:t>2</w:t>
      </w:r>
    </w:p>
    <w:p>
      <w:pPr>
        <w:spacing w:line="360" w:lineRule="auto"/>
        <w:jc w:val="both"/>
      </w:pPr>
      <w:r>
        <w:rPr>
          <w:rFonts w:ascii="Arial" w:hAnsi="Arial"/>
          <w:b w:val="0"/>
          <w:i w:val="0"/>
          <w:sz w:val="28"/>
        </w:rPr>
        <w:t>La demostración de esos extremos exige además una lectura de conjunto, porque, como sostiene De Paula Ramos, cada documento debe conjugarse con las demás pruebas y ese examen integral eleva el grado de corroboración tanto de la propia fuente como de los hechos por demostrar, lo que en esta materia significa leer juntos el contrato, el comprobante fiscal digital con su complemento de pago, el estado de cuenta, el acuse de la transferencia y el papel de trabajo que vincula el gravamen con la declaración y con la solicitud de devolución.</w:t>
      </w:r>
      <w:r>
        <w:rPr>
          <w:rFonts w:ascii="Arial" w:hAnsi="Arial"/>
          <w:vertAlign w:val="superscript"/>
        </w:rPr>
        <w:t>3</w:t>
      </w:r>
    </w:p>
    <w:p>
      <w:pPr>
        <w:spacing w:line="360" w:lineRule="auto"/>
        <w:jc w:val="both"/>
      </w:pPr>
      <w:r>
        <w:rPr>
          <w:rFonts w:ascii="Arial" w:hAnsi="Arial"/>
          <w:b w:val="0"/>
          <w:i w:val="0"/>
          <w:sz w:val="28"/>
        </w:rPr>
        <w:t>La carga de esa demostración corresponde a la parte actora, pues el artículo 40 de la Ley Federal de Procedimiento Contencioso Administrativo impone a quien pretende que se reconozca o se haga efectivo un derecho subjetivo la obligación de probar los hechos de los que deriva, y por ello este concepto ofrece, además de la refutación del razonamiento de la autoridad, la reconstrucción documental y contable completa de la operación, que permite a esa Sala constatar la procedencia de la devolución antes de condenar a su pago, como lo exige el quinto párrafo del numeral 50 del mismo ordenamiento.</w:t>
      </w:r>
    </w:p>
    <w:p>
      <w:pPr>
        <w:spacing w:line="360" w:lineRule="auto"/>
        <w:jc w:val="both"/>
      </w:pPr>
      <w:r>
        <w:rPr>
          <w:rFonts w:ascii="Arial" w:hAnsi="Arial"/>
          <w:b w:val="0"/>
          <w:i w:val="0"/>
          <w:sz w:val="28"/>
        </w:rPr>
        <w:t>Cuando la ley obliga a la persona adquirente a retener un impuesto sobre el precio que paga a una persona física, la liquidación de la operación se compone de dos porciones, la que se transfiere a la enajenante y la que se retiene y se entera al fisco por cuenta de ésta, de modo que ambas extinguen la deuda frente a quien enajenó y la cantidad retenida forma parte de lo efectivamente pagado, aunque no aparezca en el estado de cuenta como abono a la proveedora.</w:t>
      </w:r>
    </w:p>
    <w:p>
      <w:pPr>
        <w:spacing w:line="360" w:lineRule="auto"/>
        <w:jc w:val="both"/>
      </w:pPr>
      <w:r>
        <w:rPr>
          <w:rFonts w:ascii="Arial" w:hAnsi="Arial"/>
          <w:b w:val="0"/>
          <w:i w:val="0"/>
          <w:sz w:val="28"/>
        </w:rPr>
        <w:t>De ello se sigue que, si la retención se calcula exclusivamente sobre la base de la operación, una transferencia igual a esa cifra, más el gravamen trasladado y menos lo retenido, acredita el pago íntegro del impuesto al valor agregado, porque la diferencia entre lo transferido y el total facturado corresponde, peso por peso, a la porción del precio que se enteró al fisco por cuenta de la vendedora y en nada toca el tributo cuyo acreditamiento se discute.</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En el caso, la parte actora acreditó el impuesto al valor agregado que le trasladó </w:t>
      </w:r>
      <w:r>
        <w:rPr>
          <w:rFonts w:ascii="Arial" w:hAnsi="Arial"/>
          <w:b/>
          <w:i w:val="0"/>
          <w:sz w:val="28"/>
        </w:rPr>
        <w:t>[PROVEEDOR QUE TRASLADÓ EL IVA]</w:t>
      </w:r>
      <w:r>
        <w:rPr>
          <w:rFonts w:ascii="Arial" w:hAnsi="Arial"/>
          <w:b w:val="0"/>
          <w:i w:val="0"/>
          <w:sz w:val="28"/>
        </w:rPr>
        <w:t xml:space="preserve"> con motivo de la operación documentada en </w:t>
      </w:r>
      <w:r>
        <w:rPr>
          <w:rFonts w:ascii="Arial" w:hAnsi="Arial"/>
          <w:b/>
          <w:i w:val="0"/>
          <w:sz w:val="28"/>
        </w:rPr>
        <w:t>[CONTRATO, CFDI Y COMPLEMENTO DE PAGO DE LA OPERACIÓN]</w:t>
      </w:r>
      <w:r>
        <w:rPr>
          <w:rFonts w:ascii="Arial" w:hAnsi="Arial"/>
          <w:b w:val="0"/>
          <w:i w:val="0"/>
          <w:sz w:val="28"/>
        </w:rPr>
        <w:t>, gravamen que incluyó en la declaración del periodo y en la solicitud de devolución, según consta en el papel de trabajo exhibido ante la autoridad fiscal.</w:t>
      </w:r>
    </w:p>
    <w:p>
      <w:pPr>
        <w:spacing w:line="360" w:lineRule="auto"/>
        <w:jc w:val="both"/>
      </w:pPr>
      <w:r>
        <w:rPr>
          <w:rFonts w:ascii="Arial" w:hAnsi="Arial"/>
          <w:b w:val="0"/>
          <w:i w:val="0"/>
          <w:sz w:val="28"/>
        </w:rPr>
        <w:t xml:space="preserve">La liquidación de esa compra se realizó dentro del mismo periodo mediante la transferencia de </w:t>
      </w:r>
      <w:r>
        <w:rPr>
          <w:rFonts w:ascii="Arial" w:hAnsi="Arial"/>
          <w:b/>
          <w:i w:val="0"/>
          <w:sz w:val="28"/>
        </w:rPr>
        <w:t>[FECHA Y MONTO DE LA TRANSFERENCIA]</w:t>
      </w:r>
      <w:r>
        <w:rPr>
          <w:rFonts w:ascii="Arial" w:hAnsi="Arial"/>
          <w:b w:val="0"/>
          <w:i w:val="0"/>
          <w:sz w:val="28"/>
        </w:rPr>
        <w:t xml:space="preserve">, que aparece en el estado de cuenta bancario de la parte actora y en el acuse electrónico respectivo, y su importe se explica con la conciliación siguiente, </w:t>
      </w:r>
      <w:r>
        <w:rPr>
          <w:rFonts w:ascii="Arial" w:hAnsi="Arial"/>
          <w:b/>
          <w:i w:val="0"/>
          <w:sz w:val="28"/>
        </w:rPr>
        <w:t>[BASE GRAVABLE, IVA TRASLADADO Y RETENCIONES DE LA OPERACIÓN]</w:t>
      </w:r>
      <w:r>
        <w:rPr>
          <w:rFonts w:ascii="Arial" w:hAnsi="Arial"/>
          <w:b w:val="0"/>
          <w:i w:val="0"/>
          <w:sz w:val="28"/>
        </w:rPr>
        <w:t xml:space="preserve">, en la cual lo retenido conforme a </w:t>
      </w:r>
      <w:r>
        <w:rPr>
          <w:rFonts w:ascii="Arial" w:hAnsi="Arial"/>
          <w:b/>
          <w:i w:val="0"/>
          <w:sz w:val="28"/>
        </w:rPr>
        <w:t>[PRECEPTO QUE IMPONE LA RETENCIÓN]</w:t>
      </w:r>
      <w:r>
        <w:rPr>
          <w:rFonts w:ascii="Arial" w:hAnsi="Arial"/>
          <w:b w:val="0"/>
          <w:i w:val="0"/>
          <w:sz w:val="28"/>
        </w:rPr>
        <w:t xml:space="preserve"> cubre exactamente la diferencia entre lo enviado y el total facturado.</w:t>
      </w:r>
    </w:p>
    <w:p>
      <w:pPr>
        <w:spacing w:line="360" w:lineRule="auto"/>
        <w:jc w:val="both"/>
      </w:pPr>
      <w:r>
        <w:rPr>
          <w:rFonts w:ascii="Arial" w:hAnsi="Arial"/>
          <w:b w:val="0"/>
          <w:i w:val="0"/>
          <w:sz w:val="28"/>
        </w:rPr>
        <w:t>La porción retenida se enteró al fisco en la declaración de retenciones que corresponde, la cual se ofrece como prueba junto con el contrato, el comprobante fiscal y su complemento de pago, el estado de cuenta, el acuse de la transferencia y el papel de trabajo, de manera que cada componente de la conciliación tiene soporte documental propio.</w:t>
      </w:r>
    </w:p>
    <w:p>
      <w:pPr>
        <w:spacing w:line="360" w:lineRule="auto"/>
        <w:jc w:val="both"/>
      </w:pPr>
      <w:r>
        <w:rPr>
          <w:rFonts w:ascii="Arial" w:hAnsi="Arial"/>
          <w:b w:val="0"/>
          <w:i w:val="0"/>
          <w:sz w:val="28"/>
        </w:rPr>
        <w:t xml:space="preserve">Frente a esos hechos, la autoridad sostuvo que el impuesto rechazado provenía de la operación con </w:t>
      </w:r>
      <w:r>
        <w:rPr>
          <w:rFonts w:ascii="Arial" w:hAnsi="Arial"/>
          <w:b/>
          <w:i w:val="0"/>
          <w:sz w:val="28"/>
        </w:rPr>
        <w:t>[PROVEEDOR AL QUE LA AUTORIDAD ATRIBUYÓ EL IVA]</w:t>
      </w:r>
      <w:r>
        <w:rPr>
          <w:rFonts w:ascii="Arial" w:hAnsi="Arial"/>
          <w:b w:val="0"/>
          <w:i w:val="0"/>
          <w:sz w:val="28"/>
        </w:rPr>
        <w:t xml:space="preserve">, comparó el gravamen solicitado con el pago hecho a esa persona, reconoció únicamente la parte del tributo proporcional a esa erogación y concluyó que el resto no se había cubierto en el mes, sin examinar la compra celebrada con </w:t>
      </w:r>
      <w:r>
        <w:rPr>
          <w:rFonts w:ascii="Arial" w:hAnsi="Arial"/>
          <w:b/>
          <w:i w:val="0"/>
          <w:sz w:val="28"/>
        </w:rPr>
        <w:t>[PROVEEDOR QUE TRASLADÓ EL IVA]</w:t>
      </w:r>
      <w:r>
        <w:rPr>
          <w:rFonts w:ascii="Arial" w:hAnsi="Arial"/>
          <w:b w:val="0"/>
          <w:i w:val="0"/>
          <w:sz w:val="28"/>
        </w:rPr>
        <w:t xml:space="preserve"> ni la transferencia con la que se liquidó.</w:t>
      </w:r>
    </w:p>
    <w:p>
      <w:pPr>
        <w:spacing w:line="360" w:lineRule="auto"/>
        <w:jc w:val="both"/>
      </w:pPr>
      <w:r>
        <w:rPr>
          <w:rFonts w:ascii="Arial" w:hAnsi="Arial"/>
          <w:b w:val="0"/>
          <w:i w:val="0"/>
          <w:sz w:val="28"/>
        </w:rPr>
        <w:t xml:space="preserve">El razonamiento de la autoridad incurre en la falacia de eludir la cuestión, conocida como ignoratio elenchi, que García Damborenea define como probar una cosa diferente de la que se cuestiona, porque la pregunta jurídica era si el gravamen trasladado por </w:t>
      </w:r>
      <w:r>
        <w:rPr>
          <w:rFonts w:ascii="Arial" w:hAnsi="Arial"/>
          <w:b/>
          <w:i w:val="0"/>
          <w:sz w:val="28"/>
        </w:rPr>
        <w:t>[PROVEEDOR QUE TRASLADÓ EL IVA]</w:t>
      </w:r>
      <w:r>
        <w:rPr>
          <w:rFonts w:ascii="Arial" w:hAnsi="Arial"/>
          <w:b w:val="0"/>
          <w:i w:val="0"/>
          <w:sz w:val="28"/>
        </w:rPr>
        <w:t xml:space="preserve"> se pagó en el mes y la demandada respondió otra distinta, la de cuánto tributo ampara la erogación hecha a un tercero ajeno a esa compra.</w:t>
      </w:r>
      <w:r>
        <w:rPr>
          <w:rFonts w:ascii="Arial" w:hAnsi="Arial"/>
          <w:vertAlign w:val="superscript"/>
        </w:rPr>
        <w:t>4</w:t>
      </w:r>
    </w:p>
    <w:p>
      <w:pPr>
        <w:spacing w:line="360" w:lineRule="auto"/>
        <w:jc w:val="both"/>
      </w:pPr>
      <w:r>
        <w:rPr>
          <w:rFonts w:ascii="Arial" w:hAnsi="Arial"/>
          <w:b w:val="0"/>
          <w:i w:val="0"/>
          <w:sz w:val="28"/>
        </w:rPr>
        <w:t xml:space="preserve">La conclusión de la demandada podría ser cierta respecto del proveedor que examinó y, aun así, carecer de pertinencia para el acreditamiento controvertido, pues demostrar que la erogación a </w:t>
      </w:r>
      <w:r>
        <w:rPr>
          <w:rFonts w:ascii="Arial" w:hAnsi="Arial"/>
          <w:b/>
          <w:i w:val="0"/>
          <w:sz w:val="28"/>
        </w:rPr>
        <w:t>[PROVEEDOR AL QUE LA AUTORIDAD ATRIBUYÓ EL IVA]</w:t>
      </w:r>
      <w:r>
        <w:rPr>
          <w:rFonts w:ascii="Arial" w:hAnsi="Arial"/>
          <w:b w:val="0"/>
          <w:i w:val="0"/>
          <w:sz w:val="28"/>
        </w:rPr>
        <w:t xml:space="preserve"> sólo ampara una parte del gravamen nada informa sobre si se cubrió el que trasladó una persona diversa por un acto diferente, que era el hecho por verificar conforme a la fracción III del artículo 5o. de la ley del tributo.</w:t>
      </w:r>
    </w:p>
    <w:p>
      <w:pPr>
        <w:spacing w:line="360" w:lineRule="auto"/>
        <w:jc w:val="both"/>
      </w:pPr>
      <w:r>
        <w:rPr>
          <w:rFonts w:ascii="Arial" w:hAnsi="Arial"/>
          <w:b w:val="0"/>
          <w:i w:val="0"/>
          <w:sz w:val="28"/>
        </w:rPr>
        <w:t>La negativa encierra también un non sequitur, denominación genérica que García Damborenea da a los argumentos cuya conclusión no se sigue de las premisas, porque de que un solo pago acreditado cubra parte del impuesto no se infiere que el resto haya quedado insoluto, menos aún cuando el expediente contenía la transferencia que liquidó la otra operación.</w:t>
      </w:r>
      <w:r>
        <w:rPr>
          <w:rFonts w:ascii="Arial" w:hAnsi="Arial"/>
          <w:vertAlign w:val="superscript"/>
        </w:rPr>
        <w:t>5</w:t>
      </w:r>
    </w:p>
    <w:p>
      <w:pPr>
        <w:spacing w:line="360" w:lineRule="auto"/>
        <w:jc w:val="both"/>
      </w:pPr>
      <w:r>
        <w:rPr>
          <w:rFonts w:ascii="Arial" w:hAnsi="Arial"/>
          <w:b w:val="0"/>
          <w:i w:val="0"/>
          <w:sz w:val="28"/>
        </w:rPr>
        <w:t>La objeción de que la transferencia es inferior al total facturado, y de que por ello el impuesto no se cubrió completo, reproduciría ese mismo salto inferencial, pues la diferencia corresponde a la retención calculada sobre la base de la operación, que la parte actora enteró al fisco por cuenta de la proveedora y que integra el precio efectivamente pagado, de suerte que ningún peso del gravamen trasladado quedó pendiente.</w:t>
      </w:r>
    </w:p>
    <w:p>
      <w:pPr>
        <w:spacing w:line="360" w:lineRule="auto"/>
        <w:jc w:val="both"/>
      </w:pPr>
      <w:r>
        <w:rPr>
          <w:rFonts w:ascii="Arial" w:hAnsi="Arial"/>
          <w:b w:val="0"/>
          <w:i w:val="0"/>
          <w:sz w:val="28"/>
        </w:rPr>
        <w:t xml:space="preserve">Para que esa Sala cuente con el auxilio técnico necesario, se ofrece la prueba pericial en materia contable con un cuestionario que pide identificar al proveedor y la operación de los que proviene el impuesto rechazado, la fecha y el monto del pago, la conciliación entre base, gravamen, retenciones e importe transferido, y si con ello se genera el saldo a favor de </w:t>
      </w:r>
      <w:r>
        <w:rPr>
          <w:rFonts w:ascii="Arial" w:hAnsi="Arial"/>
          <w:b/>
          <w:i w:val="0"/>
          <w:sz w:val="28"/>
        </w:rPr>
        <w:t>[MONTO SOLICITADO EN DEVOLUCIÓN]</w:t>
      </w:r>
      <w:r>
        <w:rPr>
          <w:rFonts w:ascii="Arial" w:hAnsi="Arial"/>
          <w:b w:val="0"/>
          <w:i w:val="0"/>
          <w:sz w:val="28"/>
        </w:rPr>
        <w:t xml:space="preserve"> declarado en el periodo, y se solicita desde ahora la designación de persona perita tercera si los dictámenes discreparan, conforme al artículo 43, fracción V, de la ley procesal.</w:t>
      </w:r>
    </w:p>
    <w:p>
      <w:pPr>
        <w:spacing w:line="360" w:lineRule="auto"/>
        <w:jc w:val="both"/>
      </w:pPr>
      <w:r>
        <w:rPr>
          <w:rFonts w:ascii="Arial" w:hAnsi="Arial"/>
          <w:b w:val="0"/>
          <w:i w:val="0"/>
          <w:sz w:val="28"/>
        </w:rPr>
        <w:t>En la valoración de esas opiniones técnicas, que el artículo 46, fracción III, del mismo ordenamiento deja a la prudente apreciación de la Sala, Vázquez sostiene que la persona juzgadora debe ir más allá y no conformarse con que un dictamen no haya sido objetado para atribuirle valor probatorio, por lo que el peritaje que se limite a reiterar la atribución hecha por la autoridad, sin analizar el contrato, la transferencia y el papel de trabajo, carece de sustento y no puede prevalecer sobre los que sí examinen esas constancias.</w:t>
      </w:r>
      <w:r>
        <w:rPr>
          <w:rFonts w:ascii="Arial" w:hAnsi="Arial"/>
          <w:vertAlign w:val="superscript"/>
        </w:rPr>
        <w:t>6</w:t>
      </w:r>
    </w:p>
    <w:p>
      <w:pPr>
        <w:spacing w:line="360" w:lineRule="auto"/>
        <w:jc w:val="both"/>
      </w:pPr>
      <w:r>
        <w:rPr>
          <w:rFonts w:ascii="Arial" w:hAnsi="Arial"/>
          <w:b w:val="0"/>
          <w:i w:val="0"/>
          <w:sz w:val="28"/>
        </w:rPr>
        <w:t>Los hechos así demostrados encuadran en la fracción IV del artículo 51 de la ley procesal, porque la resolución recurrida tuvo por no pagado en el mes un gravamen que sí se cubrió dentro de él y atribuyó a una operación un traslado proveniente de otra, lo que constituye a la vez apreciación equivocada de los hechos y contravención de la disposición aplicada, vicio que el acto impugnado heredó al confirmarla sin corregirlo pese a que las mismas constancias obraban en la instancia administrativa.</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impuesto al valor agregado acreditable rechazado, por </w:t>
      </w:r>
      <w:r>
        <w:rPr>
          <w:rFonts w:ascii="Arial" w:hAnsi="Arial"/>
          <w:b/>
          <w:i w:val="0"/>
          <w:sz w:val="28"/>
        </w:rPr>
        <w:t>[MONTO DEL IVA ACREDITABLE RECHAZADO]</w:t>
      </w:r>
      <w:r>
        <w:rPr>
          <w:rFonts w:ascii="Arial" w:hAnsi="Arial"/>
          <w:b w:val="0"/>
          <w:i w:val="0"/>
          <w:sz w:val="28"/>
        </w:rPr>
        <w:t xml:space="preserve">, forma parte del que trasladó </w:t>
      </w:r>
      <w:r>
        <w:rPr>
          <w:rFonts w:ascii="Arial" w:hAnsi="Arial"/>
          <w:b/>
          <w:i w:val="0"/>
          <w:sz w:val="28"/>
        </w:rPr>
        <w:t>[PROVEEDOR QUE TRASLADÓ EL IVA]</w:t>
      </w:r>
      <w:r>
        <w:rPr>
          <w:rFonts w:ascii="Arial" w:hAnsi="Arial"/>
          <w:b w:val="0"/>
          <w:i w:val="0"/>
          <w:sz w:val="28"/>
        </w:rPr>
        <w:t xml:space="preserve">, se pagó dentro de </w:t>
      </w:r>
      <w:r>
        <w:rPr>
          <w:rFonts w:ascii="Arial" w:hAnsi="Arial"/>
          <w:b/>
          <w:i w:val="0"/>
          <w:sz w:val="28"/>
        </w:rPr>
        <w:t>[PERIODO DEL SALDO A FAVOR]</w:t>
      </w:r>
      <w:r>
        <w:rPr>
          <w:rFonts w:ascii="Arial" w:hAnsi="Arial"/>
          <w:b w:val="0"/>
          <w:i w:val="0"/>
          <w:sz w:val="28"/>
        </w:rPr>
        <w:t xml:space="preserve"> mediante la transferencia que el estado de cuenta registra y cuadra con la base, el gravamen trasladado y la retención legal, por lo que satisface el requisito de efectivo pago y su rechazo carece de motivación válida.</w:t>
      </w:r>
    </w:p>
    <w:p>
      <w:pPr>
        <w:spacing w:line="360" w:lineRule="auto"/>
        <w:jc w:val="both"/>
      </w:pPr>
      <w:r>
        <w:rPr>
          <w:rFonts w:ascii="Arial" w:hAnsi="Arial"/>
          <w:b w:val="0"/>
          <w:i w:val="0"/>
          <w:sz w:val="28"/>
        </w:rPr>
        <w:t xml:space="preserve">Por lo expuesto, se solicita a esa Sala que declare fundado este concepto y, con apoyo en los artículos 50, párrafos cuarto y quinto, 51, fracción IV, y 52, fracciones II y V, inciso a), de la ley procesal, anule la resolución impugnada y la recurrida, reconozca el derecho subjetivo de la parte actora a la devolución de </w:t>
      </w:r>
      <w:r>
        <w:rPr>
          <w:rFonts w:ascii="Arial" w:hAnsi="Arial"/>
          <w:b/>
          <w:i w:val="0"/>
          <w:sz w:val="28"/>
        </w:rPr>
        <w:t>[MONTO DEL IVA ACREDITABLE RECHAZADO]</w:t>
      </w:r>
      <w:r>
        <w:rPr>
          <w:rFonts w:ascii="Arial" w:hAnsi="Arial"/>
          <w:b w:val="0"/>
          <w:i w:val="0"/>
          <w:sz w:val="28"/>
        </w:rPr>
        <w:t xml:space="preserve"> y condene a efectuarla con la actualización prevista en los numerales 17-A y 22 del Código Fiscal de la Federación y con los intereses que ordena el precepto 22-A, segundo párrafo, fracción I, del mismo código.</w:t>
      </w:r>
    </w:p>
    <w:p>
      <w:pPr>
        <w:spacing w:line="360" w:lineRule="auto"/>
        <w:jc w:val="both"/>
      </w:pPr>
      <w:r>
        <w:rPr>
          <w:rFonts w:ascii="Arial" w:hAnsi="Arial"/>
          <w:b w:val="0"/>
          <w:i w:val="0"/>
          <w:sz w:val="28"/>
        </w:rPr>
        <w:t xml:space="preserve">En forma subsidiaria, si esa Sala estimara que procede una nulidad para efectos en términos de la fracción IV del artículo 52 de la ley procesal, se pide que precise los términos conforme a los cuales la autoridad debe resolver de nuevo, con la indicación expresa de que el impuesto rechazado proviene de la operación con </w:t>
      </w:r>
      <w:r>
        <w:rPr>
          <w:rFonts w:ascii="Arial" w:hAnsi="Arial"/>
          <w:b/>
          <w:i w:val="0"/>
          <w:sz w:val="28"/>
        </w:rPr>
        <w:t>[PROVEEDOR QUE TRASLADÓ EL IVA]</w:t>
      </w:r>
      <w:r>
        <w:rPr>
          <w:rFonts w:ascii="Arial" w:hAnsi="Arial"/>
          <w:b w:val="0"/>
          <w:i w:val="0"/>
          <w:sz w:val="28"/>
        </w:rPr>
        <w:t>, que se pagó efectivamente en el mes y que debe devolverse con su actualización e intereses, a fin de que la nueva resolución no reabra la discusión ya decidida.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1139.</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137.</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 p. 171.</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VÁZQUEZ, Carmen (coord.), </w:t>
      </w:r>
      <w:r>
        <w:rPr>
          <w:rFonts w:ascii="Arial" w:hAnsi="Arial"/>
          <w:i/>
          <w:sz w:val="20"/>
        </w:rPr>
        <w:t>Manual de prueba pericial</w:t>
      </w:r>
      <w:r>
        <w:rPr>
          <w:rFonts w:ascii="Arial" w:hAnsi="Arial"/>
          <w:i w:val="0"/>
          <w:sz w:val="20"/>
        </w:rPr>
        <w:t>, Suprema Corte de Justicia de la Nación, México, 2022, p. 32.</w:t>
      </w:r>
    </w:p>
    <w:p/>
    <w:p>
      <w:r>
        <w:rPr>
          <w:rFonts w:ascii="Arial" w:hAnsi="Arial"/>
          <w:b/>
          <w:sz w:val="22"/>
        </w:rPr>
        <w:t>BIBLIOGRAFÍA</w:t>
      </w:r>
    </w:p>
    <w:p>
      <w:pPr>
        <w:spacing w:after="60"/>
        <w:ind w:left="360" w:hanging="360"/>
        <w:jc w:val="both"/>
      </w:pP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VÁZQUEZ, Carmen (coord.), </w:t>
      </w:r>
      <w:r>
        <w:rPr>
          <w:rFonts w:ascii="Arial" w:hAnsi="Arial"/>
          <w:i/>
          <w:sz w:val="20"/>
        </w:rPr>
        <w:t>Manual de prueba pericial</w:t>
      </w:r>
      <w:r>
        <w:rPr>
          <w:rFonts w:ascii="Arial" w:hAnsi="Arial"/>
          <w:i w:val="0"/>
          <w:sz w:val="20"/>
        </w:rPr>
        <w:t>, Suprema Corte de Justicia de la Nación, México, 2022.</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