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28"/>
        </w:rPr>
        <w:t>MACHOTE. DEMANDA DE NULIDAD TFJA. MULTAS ANTILAVADO SIN ACTIVIDAD VULNERABLE INMOBILIARIA</w:t>
      </w:r>
    </w:p>
    <w:p>
      <w:pPr>
        <w:jc w:val="center"/>
      </w:pPr>
      <w:r>
        <w:rPr>
          <w:rFonts w:ascii="Arial" w:hAnsi="Arial"/>
          <w:sz w:val="20"/>
        </w:rPr>
        <w:t>Machote gratuito de Academia de Amparo y Derecho — academiadeamparo.com</w:t>
      </w:r>
    </w:p>
    <w:p/>
    <w:p>
      <w:r>
        <w:rPr>
          <w:rFonts w:ascii="Arial" w:hAnsi="Arial"/>
          <w:b/>
          <w:sz w:val="24"/>
        </w:rPr>
        <w:t>CÓMO USAR ESTE MACHOTE</w:t>
      </w:r>
    </w:p>
    <w:p>
      <w:pPr>
        <w:spacing w:line="360" w:lineRule="auto"/>
        <w:jc w:val="both"/>
      </w:pPr>
      <w:r>
        <w:rPr>
          <w:rFonts w:ascii="Arial" w:hAnsi="Arial"/>
          <w:b w:val="0"/>
          <w:i w:val="0"/>
          <w:sz w:val="24"/>
        </w:rPr>
        <w:t>Descarga el machote, léelo completo y colócalo como primer concepto de impugnación de tu demanda de nulidad, porque es el que mayor beneficio produce: si prospera, arrastra todas las multas y conduce a la nulidad lisa y llana.</w:t>
      </w:r>
    </w:p>
    <w:p>
      <w:pPr>
        <w:spacing w:line="360" w:lineRule="auto"/>
        <w:jc w:val="both"/>
      </w:pPr>
      <w:r>
        <w:rPr>
          <w:rFonts w:ascii="Arial" w:hAnsi="Arial"/>
          <w:b w:val="0"/>
          <w:i w:val="0"/>
          <w:sz w:val="24"/>
        </w:rPr>
        <w:t>Antes de llenarlo, determina la vía (ordinaria o sumaria) con el texto vigente de la Ley Federal de Procedimiento Contencioso Administrativo, reformada el 9 de junio de 2026; en ambas la demanda se presenta dentro de los treinta días siguientes a aquél en que surta efectos la notificación (artículo 13, fracción I, en la ordinaria, y artículo 58-2, párrafo tercero, en la sumaria).</w:t>
      </w:r>
    </w:p>
    <w:p>
      <w:pPr>
        <w:spacing w:line="360" w:lineRule="auto"/>
        <w:jc w:val="both"/>
      </w:pPr>
      <w:r>
        <w:rPr>
          <w:rFonts w:ascii="Arial" w:hAnsi="Arial"/>
          <w:b w:val="0"/>
          <w:i w:val="0"/>
          <w:sz w:val="24"/>
        </w:rPr>
        <w:t>Coteja el texto de los artículos 17, 18, 53 y 54 de la Ley Federal para la Prevención e Identificación de Operaciones con Recursos de Procedencia Ilícita vigente en la fecha de las operaciones revisadas, porque el machote transcribe la fracción V del artículo 17 tal como la reprodujo la sentencia que lo inspira y la redacción aplicable a tu caso puede ser distinta.</w:t>
      </w:r>
    </w:p>
    <w:p>
      <w:pPr>
        <w:spacing w:line="360" w:lineRule="auto"/>
        <w:jc w:val="both"/>
      </w:pPr>
      <w:r>
        <w:rPr>
          <w:rFonts w:ascii="Arial" w:hAnsi="Arial"/>
          <w:b w:val="0"/>
          <w:i w:val="0"/>
          <w:sz w:val="24"/>
        </w:rPr>
        <w:t>Reúne los CFDI con sus XML y, si existen, los contratos y la evidencia de que no hubo compraventa de inmuebles por cuenta o a favor de tus clientes; elimina el párrafo de la multa por no exhibir documentación si esa sanción no existe en tu caso y ajusta el de los mecanismos de seguimiento si el oficio describe esa obligación de otra manera.</w:t>
      </w:r>
    </w:p>
    <w:p>
      <w:pPr>
        <w:spacing w:line="360" w:lineRule="auto"/>
        <w:jc w:val="both"/>
      </w:pPr>
      <w:r>
        <w:rPr>
          <w:rFonts w:ascii="Arial" w:hAnsi="Arial"/>
          <w:b w:val="0"/>
          <w:i w:val="0"/>
          <w:sz w:val="24"/>
        </w:rPr>
        <w:t>Antes de presentarlo, confirma en tu resolución que de verdad omite cada elemento que el machote le reprocha (la habitualidad o profesionalidad, la compraventa por cuenta o a favor de clientes y la comparación con el umbral del aviso) y suprime el reproche que no corresponda a tu caso.</w:t>
      </w:r>
    </w:p>
    <w:p>
      <w:pPr>
        <w:spacing w:line="360" w:lineRule="auto"/>
        <w:jc w:val="both"/>
      </w:pPr>
      <w:r>
        <w:rPr>
          <w:rFonts w:ascii="Arial" w:hAnsi="Arial"/>
          <w:b w:val="0"/>
          <w:i w:val="0"/>
          <w:sz w:val="24"/>
        </w:rPr>
        <w:t>Campos editables y qué poner en cada uno:</w:t>
      </w:r>
    </w:p>
    <w:p>
      <w:pPr>
        <w:spacing w:line="360" w:lineRule="auto"/>
        <w:jc w:val="both"/>
      </w:pPr>
      <w:r>
        <w:rPr>
          <w:rFonts w:ascii="Arial" w:hAnsi="Arial"/>
          <w:b/>
          <w:i w:val="0"/>
          <w:sz w:val="24"/>
        </w:rPr>
        <w:t>[NÚMERO ORDINAL DEL CONCEPTO]</w:t>
      </w:r>
      <w:r>
        <w:rPr>
          <w:rFonts w:ascii="Arial" w:hAnsi="Arial"/>
          <w:b w:val="0"/>
          <w:i w:val="0"/>
          <w:sz w:val="24"/>
        </w:rPr>
        <w:t>: el ordinal que le corresponda en tu demanda (PRIMERO, SEGUNDO…); como es el concepto de mayor beneficio, conviene colocarlo primero.</w:t>
      </w:r>
    </w:p>
    <w:p>
      <w:pPr>
        <w:spacing w:line="360" w:lineRule="auto"/>
        <w:jc w:val="both"/>
      </w:pPr>
      <w:r>
        <w:rPr>
          <w:rFonts w:ascii="Arial" w:hAnsi="Arial"/>
          <w:b/>
          <w:i w:val="0"/>
          <w:sz w:val="24"/>
        </w:rPr>
        <w:t>[NÚMERO DE LA RESOLUCIÓN IMPUGNADA]</w:t>
      </w:r>
      <w:r>
        <w:rPr>
          <w:rFonts w:ascii="Arial" w:hAnsi="Arial"/>
          <w:b w:val="0"/>
          <w:i w:val="0"/>
          <w:sz w:val="24"/>
        </w:rPr>
        <w:t>: el número exacto del oficio que impuso las multas.</w:t>
      </w:r>
    </w:p>
    <w:p>
      <w:pPr>
        <w:spacing w:line="360" w:lineRule="auto"/>
        <w:jc w:val="both"/>
      </w:pPr>
      <w:r>
        <w:rPr>
          <w:rFonts w:ascii="Arial" w:hAnsi="Arial"/>
          <w:b/>
          <w:i w:val="0"/>
          <w:sz w:val="24"/>
        </w:rPr>
        <w:t>[FECHA DE LA RESOLUCIÓN IMPUGNADA]</w:t>
      </w:r>
      <w:r>
        <w:rPr>
          <w:rFonts w:ascii="Arial" w:hAnsi="Arial"/>
          <w:b w:val="0"/>
          <w:i w:val="0"/>
          <w:sz w:val="24"/>
        </w:rPr>
        <w:t>: la fecha que lleva ese oficio.</w:t>
      </w:r>
    </w:p>
    <w:p>
      <w:pPr>
        <w:spacing w:line="360" w:lineRule="auto"/>
        <w:jc w:val="both"/>
      </w:pPr>
      <w:r>
        <w:rPr>
          <w:rFonts w:ascii="Arial" w:hAnsi="Arial"/>
          <w:b/>
          <w:i w:val="0"/>
          <w:sz w:val="24"/>
        </w:rPr>
        <w:t>[FECHA DE NOTIFICACIÓN DE LA RESOLUCIÓN IMPUGNADA]</w:t>
      </w:r>
      <w:r>
        <w:rPr>
          <w:rFonts w:ascii="Arial" w:hAnsi="Arial"/>
          <w:b w:val="0"/>
          <w:i w:val="0"/>
          <w:sz w:val="24"/>
        </w:rPr>
        <w:t>: el día en que se notificó el oficio; a partir de que surta efectos corre el plazo de la demanda.</w:t>
      </w:r>
    </w:p>
    <w:p>
      <w:pPr>
        <w:spacing w:line="360" w:lineRule="auto"/>
        <w:jc w:val="both"/>
      </w:pPr>
      <w:r>
        <w:rPr>
          <w:rFonts w:ascii="Arial" w:hAnsi="Arial"/>
          <w:b/>
          <w:i w:val="0"/>
          <w:sz w:val="24"/>
        </w:rPr>
        <w:t>[AUTORIDAD DEMANDADA]</w:t>
      </w:r>
      <w:r>
        <w:rPr>
          <w:rFonts w:ascii="Arial" w:hAnsi="Arial"/>
          <w:b w:val="0"/>
          <w:i w:val="0"/>
          <w:sz w:val="24"/>
        </w:rPr>
        <w:t>: la unidad administrativa emisora, con su denominación completa tal como aparece en el oficio.</w:t>
      </w:r>
    </w:p>
    <w:p>
      <w:pPr>
        <w:spacing w:line="360" w:lineRule="auto"/>
        <w:jc w:val="both"/>
      </w:pPr>
      <w:r>
        <w:rPr>
          <w:rFonts w:ascii="Arial" w:hAnsi="Arial"/>
          <w:b/>
          <w:i w:val="0"/>
          <w:sz w:val="24"/>
        </w:rPr>
        <w:t>[NOMBRE DE LA PARTE ACTORA]</w:t>
      </w:r>
      <w:r>
        <w:rPr>
          <w:rFonts w:ascii="Arial" w:hAnsi="Arial"/>
          <w:b w:val="0"/>
          <w:i w:val="0"/>
          <w:sz w:val="24"/>
        </w:rPr>
        <w:t>: la persona física o moral sancionada.</w:t>
      </w:r>
    </w:p>
    <w:p>
      <w:pPr>
        <w:spacing w:line="360" w:lineRule="auto"/>
        <w:jc w:val="both"/>
      </w:pPr>
      <w:r>
        <w:rPr>
          <w:rFonts w:ascii="Arial" w:hAnsi="Arial"/>
          <w:b/>
          <w:i w:val="0"/>
          <w:sz w:val="24"/>
        </w:rPr>
        <w:t>[MONTO TOTAL DE LAS MULTAS]</w:t>
      </w:r>
      <w:r>
        <w:rPr>
          <w:rFonts w:ascii="Arial" w:hAnsi="Arial"/>
          <w:b w:val="0"/>
          <w:i w:val="0"/>
          <w:sz w:val="24"/>
        </w:rPr>
        <w:t>: la suma de todas las sanciones, con número y letra; si el oficio trae cifras discrepantes entre apartados, señálalo.</w:t>
      </w:r>
    </w:p>
    <w:p>
      <w:pPr>
        <w:spacing w:line="360" w:lineRule="auto"/>
        <w:jc w:val="both"/>
      </w:pPr>
      <w:r>
        <w:rPr>
          <w:rFonts w:ascii="Arial" w:hAnsi="Arial"/>
          <w:b/>
          <w:i w:val="0"/>
          <w:sz w:val="24"/>
        </w:rPr>
        <w:t>[RELACIÓN DE LAS MULTAS IMPUESTAS Y SUS PRECEPTOS]</w:t>
      </w:r>
      <w:r>
        <w:rPr>
          <w:rFonts w:ascii="Arial" w:hAnsi="Arial"/>
          <w:b w:val="0"/>
          <w:i w:val="0"/>
          <w:sz w:val="24"/>
        </w:rPr>
        <w:t>: cada multa con su importe, la obligación que se dice incumplida y el precepto que invocó la autoridad, en el orden del oficio.</w:t>
      </w:r>
    </w:p>
    <w:p>
      <w:pPr>
        <w:spacing w:line="360" w:lineRule="auto"/>
        <w:jc w:val="both"/>
      </w:pPr>
      <w:r>
        <w:rPr>
          <w:rFonts w:ascii="Arial" w:hAnsi="Arial"/>
          <w:b/>
          <w:i w:val="0"/>
          <w:sz w:val="24"/>
        </w:rPr>
        <w:t>[EJERCICIO O PERIODO DE LAS OPERACIONES]</w:t>
      </w:r>
      <w:r>
        <w:rPr>
          <w:rFonts w:ascii="Arial" w:hAnsi="Arial"/>
          <w:b w:val="0"/>
          <w:i w:val="0"/>
          <w:sz w:val="24"/>
        </w:rPr>
        <w:t>: el año o periodo revisado en que se celebraron los actos que la autoridad calificó.</w:t>
      </w:r>
    </w:p>
    <w:p>
      <w:pPr>
        <w:spacing w:line="360" w:lineRule="auto"/>
        <w:jc w:val="both"/>
      </w:pPr>
      <w:r>
        <w:rPr>
          <w:rFonts w:ascii="Arial" w:hAnsi="Arial"/>
          <w:b/>
          <w:i w:val="0"/>
          <w:sz w:val="24"/>
        </w:rPr>
        <w:t>[DENOMINACIÓN DE LA ACTIVIDAD SEGÚN LA RESOLUCIÓN]</w:t>
      </w:r>
      <w:r>
        <w:rPr>
          <w:rFonts w:ascii="Arial" w:hAnsi="Arial"/>
          <w:b w:val="0"/>
          <w:i w:val="0"/>
          <w:sz w:val="24"/>
        </w:rPr>
        <w:t xml:space="preserve">: la fórmula literal con la que el oficio nombra la actividad vulnerable (por ejemplo, </w:t>
      </w:r>
      <w:r>
        <w:rPr>
          <w:rFonts w:ascii="Arial" w:hAnsi="Arial"/>
          <w:b w:val="0"/>
          <w:i/>
          <w:sz w:val="24"/>
        </w:rPr>
        <w:t>“transmisión de derechos sobre bienes inmuebles”</w:t>
      </w:r>
      <w:r>
        <w:rPr>
          <w:rFonts w:ascii="Arial" w:hAnsi="Arial"/>
          <w:b w:val="0"/>
          <w:i w:val="0"/>
          <w:sz w:val="24"/>
        </w:rPr>
        <w:t>); cópiala tal cual, porque el argumento compara esa fórmula con el texto legal.</w:t>
      </w:r>
    </w:p>
    <w:p>
      <w:pPr>
        <w:spacing w:line="360" w:lineRule="auto"/>
        <w:jc w:val="both"/>
      </w:pPr>
      <w:r>
        <w:rPr>
          <w:rFonts w:ascii="Arial" w:hAnsi="Arial"/>
          <w:b/>
          <w:i w:val="0"/>
          <w:sz w:val="24"/>
        </w:rPr>
        <w:t>[PÁGINAS DE LA RESOLUCIÓN DONDE SE CALIFICA LA ACTIVIDAD]</w:t>
      </w:r>
      <w:r>
        <w:rPr>
          <w:rFonts w:ascii="Arial" w:hAnsi="Arial"/>
          <w:b w:val="0"/>
          <w:i w:val="0"/>
          <w:sz w:val="24"/>
        </w:rPr>
        <w:t>: las páginas o fojas del oficio donde la autoridad hace esa calificación.</w:t>
      </w:r>
    </w:p>
    <w:p>
      <w:pPr>
        <w:spacing w:line="360" w:lineRule="auto"/>
        <w:jc w:val="both"/>
      </w:pPr>
      <w:r>
        <w:rPr>
          <w:rFonts w:ascii="Arial" w:hAnsi="Arial"/>
          <w:b/>
          <w:i w:val="0"/>
          <w:sz w:val="24"/>
        </w:rPr>
        <w:t>[FOLIOS FISCALES DE LOS COMPROBANTES]</w:t>
      </w:r>
      <w:r>
        <w:rPr>
          <w:rFonts w:ascii="Arial" w:hAnsi="Arial"/>
          <w:b w:val="0"/>
          <w:i w:val="0"/>
          <w:sz w:val="24"/>
        </w:rPr>
        <w:t>: los folios fiscales (UUID) de los CFDI que documentan las operaciones revisadas.</w:t>
      </w:r>
    </w:p>
    <w:p>
      <w:pPr>
        <w:spacing w:line="360" w:lineRule="auto"/>
        <w:jc w:val="both"/>
      </w:pPr>
      <w:r>
        <w:rPr>
          <w:rFonts w:ascii="Arial" w:hAnsi="Arial"/>
          <w:b/>
          <w:i w:val="0"/>
          <w:sz w:val="24"/>
        </w:rPr>
        <w:t>[DESCRIPCIÓN DE LOS SERVICIOS EN LOS COMPROBANTES]</w:t>
      </w:r>
      <w:r>
        <w:rPr>
          <w:rFonts w:ascii="Arial" w:hAnsi="Arial"/>
          <w:b w:val="0"/>
          <w:i w:val="0"/>
          <w:sz w:val="24"/>
        </w:rPr>
        <w:t>: la descripción que consta en esos CFDI (mantenimiento, construcción, remodelación, etcétera), en los mismos términos.</w:t>
      </w:r>
    </w:p>
    <w:p>
      <w:pPr>
        <w:spacing w:line="360" w:lineRule="auto"/>
        <w:jc w:val="both"/>
      </w:pPr>
      <w:r>
        <w:rPr>
          <w:rFonts w:ascii="Arial" w:hAnsi="Arial"/>
          <w:b/>
          <w:i w:val="0"/>
          <w:sz w:val="24"/>
        </w:rPr>
        <w:t>[NÚMERO DE ANEXO DE LA DEMANDA]</w:t>
      </w:r>
      <w:r>
        <w:rPr>
          <w:rFonts w:ascii="Arial" w:hAnsi="Arial"/>
          <w:b w:val="0"/>
          <w:i w:val="0"/>
          <w:sz w:val="24"/>
        </w:rPr>
        <w:t>: el número de anexo con que exhibes los CFDI, con sus archivos XML y, en su caso, los contratos.</w:t>
      </w:r>
    </w:p>
    <w:p/>
    <w:p>
      <w:pPr>
        <w:spacing w:line="360" w:lineRule="auto"/>
        <w:jc w:val="both"/>
      </w:pPr>
      <w:r>
        <w:rPr>
          <w:rFonts w:ascii="Arial" w:hAnsi="Arial"/>
          <w:b/>
          <w:sz w:val="28"/>
        </w:rPr>
        <w:t>[NÚMERO ORDINAL DEL CONCEPTO] CONCEPTO DE IMPUGNACIÓN. Las multas impuestas con apoyo en la Ley Federal para la Prevención e Identificación de Operaciones con Recursos de Procedencia Ilícita carecen de tipicidad y de debida fundamentación y motivación, porque los servicios que prestó la parte actora no encuadran en la actividad vulnerable inmobiliaria que describe el artículo 17 de ese ordenamiento, premisa de la que dependen todas las sanciones, con lo cual se actualiza la causal de anulación prevista en el numeral 51, fracción IV, de la Ley Federal de Procedimiento Contencioso Administrativo.</w:t>
      </w:r>
    </w:p>
    <w:p>
      <w:pPr>
        <w:spacing w:line="360" w:lineRule="auto"/>
        <w:jc w:val="both"/>
      </w:pPr>
      <w:r>
        <w:rPr>
          <w:rFonts w:ascii="Arial" w:hAnsi="Arial"/>
          <w:b/>
          <w:sz w:val="28"/>
        </w:rPr>
        <w:t>I. Síntesis del concepto.</w:t>
      </w:r>
    </w:p>
    <w:p>
      <w:pPr>
        <w:spacing w:line="360" w:lineRule="auto"/>
        <w:jc w:val="both"/>
      </w:pPr>
      <w:r>
        <w:rPr>
          <w:rFonts w:ascii="Arial" w:hAnsi="Arial"/>
          <w:b w:val="0"/>
          <w:i w:val="0"/>
          <w:sz w:val="28"/>
        </w:rPr>
        <w:t xml:space="preserve">La resolución </w:t>
      </w:r>
      <w:r>
        <w:rPr>
          <w:rFonts w:ascii="Arial" w:hAnsi="Arial"/>
          <w:b/>
          <w:i w:val="0"/>
          <w:sz w:val="28"/>
        </w:rPr>
        <w:t>[NÚMERO DE LA RESOLUCIÓN IMPUGNADA]</w:t>
      </w:r>
      <w:r>
        <w:rPr>
          <w:rFonts w:ascii="Arial" w:hAnsi="Arial"/>
          <w:b w:val="0"/>
          <w:i w:val="0"/>
          <w:sz w:val="28"/>
        </w:rPr>
        <w:t xml:space="preserve">, de </w:t>
      </w:r>
      <w:r>
        <w:rPr>
          <w:rFonts w:ascii="Arial" w:hAnsi="Arial"/>
          <w:b/>
          <w:i w:val="0"/>
          <w:sz w:val="28"/>
        </w:rPr>
        <w:t>[FECHA DE LA RESOLUCIÓN IMPUGNADA]</w:t>
      </w:r>
      <w:r>
        <w:rPr>
          <w:rFonts w:ascii="Arial" w:hAnsi="Arial"/>
          <w:b w:val="0"/>
          <w:i w:val="0"/>
          <w:sz w:val="28"/>
        </w:rPr>
        <w:t xml:space="preserve">, por la que </w:t>
      </w:r>
      <w:r>
        <w:rPr>
          <w:rFonts w:ascii="Arial" w:hAnsi="Arial"/>
          <w:b/>
          <w:i w:val="0"/>
          <w:sz w:val="28"/>
        </w:rPr>
        <w:t>[AUTORIDAD DEMANDADA]</w:t>
      </w:r>
      <w:r>
        <w:rPr>
          <w:rFonts w:ascii="Arial" w:hAnsi="Arial"/>
          <w:b w:val="0"/>
          <w:i w:val="0"/>
          <w:sz w:val="28"/>
        </w:rPr>
        <w:t xml:space="preserve"> impuso a </w:t>
      </w:r>
      <w:r>
        <w:rPr>
          <w:rFonts w:ascii="Arial" w:hAnsi="Arial"/>
          <w:b/>
          <w:i w:val="0"/>
          <w:sz w:val="28"/>
        </w:rPr>
        <w:t>[NOMBRE DE LA PARTE ACTORA]</w:t>
      </w:r>
      <w:r>
        <w:rPr>
          <w:rFonts w:ascii="Arial" w:hAnsi="Arial"/>
          <w:b w:val="0"/>
          <w:i w:val="0"/>
          <w:sz w:val="28"/>
        </w:rPr>
        <w:t xml:space="preserve"> multas por </w:t>
      </w:r>
      <w:r>
        <w:rPr>
          <w:rFonts w:ascii="Arial" w:hAnsi="Arial"/>
          <w:b/>
          <w:i w:val="0"/>
          <w:sz w:val="28"/>
        </w:rPr>
        <w:t>[MONTO TOTAL DE LAS MULTAS]</w:t>
      </w:r>
      <w:r>
        <w:rPr>
          <w:rFonts w:ascii="Arial" w:hAnsi="Arial"/>
          <w:b w:val="0"/>
          <w:i w:val="0"/>
          <w:sz w:val="28"/>
        </w:rPr>
        <w:t xml:space="preserve">, descansa en la afirmación de que los actos de </w:t>
      </w:r>
      <w:r>
        <w:rPr>
          <w:rFonts w:ascii="Arial" w:hAnsi="Arial"/>
          <w:b/>
          <w:i w:val="0"/>
          <w:sz w:val="28"/>
        </w:rPr>
        <w:t>[EJERCICIO O PERIODO DE LAS OPERACIONES]</w:t>
      </w:r>
      <w:r>
        <w:rPr>
          <w:rFonts w:ascii="Arial" w:hAnsi="Arial"/>
          <w:b w:val="0"/>
          <w:i w:val="0"/>
          <w:sz w:val="28"/>
        </w:rPr>
        <w:t xml:space="preserve"> constituyeron la actividad vulnerable que el oficio denomina </w:t>
      </w:r>
      <w:r>
        <w:rPr>
          <w:rFonts w:ascii="Arial" w:hAnsi="Arial"/>
          <w:b w:val="0"/>
          <w:i/>
          <w:sz w:val="28"/>
        </w:rPr>
        <w:t>“[DENOMINACIÓN DE LA ACTIVIDAD SEGÚN LA RESOLUCIÓN]”</w:t>
      </w:r>
      <w:r>
        <w:rPr>
          <w:rFonts w:ascii="Arial" w:hAnsi="Arial"/>
          <w:b w:val="0"/>
          <w:i w:val="0"/>
          <w:sz w:val="28"/>
        </w:rPr>
        <w:t xml:space="preserve">, aunque los comprobantes fiscales describen </w:t>
      </w:r>
      <w:r>
        <w:rPr>
          <w:rFonts w:ascii="Arial" w:hAnsi="Arial"/>
          <w:b/>
          <w:i w:val="0"/>
          <w:sz w:val="28"/>
        </w:rPr>
        <w:t>[DESCRIPCIÓN DE LOS SERVICIOS EN LOS COMPROBANTES]</w:t>
      </w:r>
      <w:r>
        <w:rPr>
          <w:rFonts w:ascii="Arial" w:hAnsi="Arial"/>
          <w:b w:val="0"/>
          <w:i w:val="0"/>
          <w:sz w:val="28"/>
        </w:rPr>
        <w:t xml:space="preserve"> y ninguno involucra la compra o venta de un inmueble por cuenta o a favor de clientes.</w:t>
      </w:r>
    </w:p>
    <w:p>
      <w:pPr>
        <w:spacing w:line="360" w:lineRule="auto"/>
        <w:jc w:val="both"/>
      </w:pPr>
      <w:r>
        <w:rPr>
          <w:rFonts w:ascii="Arial" w:hAnsi="Arial"/>
          <w:b w:val="0"/>
          <w:i w:val="0"/>
          <w:sz w:val="28"/>
        </w:rPr>
        <w:t>Las obligaciones cuyo incumplimiento se sancionó (identificar a la clientela, resguardar la información de soporte, establecer mecanismos de seguimiento y acumulación de operaciones y presentar avisos) sólo nacen para quien realiza una actividad vulnerable, de modo que la falta de encuadre de esa premisa deja sin sustento cada una de las multas y coloca a la determinación en la hipótesis de la fracción IV del artículo 51 de la Ley Federal de Procedimiento Contencioso Administrativo, vicio de fondo que conduce a la nulidad lisa y llana.</w:t>
      </w:r>
    </w:p>
    <w:p>
      <w:pPr>
        <w:spacing w:line="360" w:lineRule="auto"/>
        <w:jc w:val="both"/>
      </w:pPr>
      <w:r>
        <w:rPr>
          <w:rFonts w:ascii="Arial" w:hAnsi="Arial"/>
          <w:b/>
          <w:sz w:val="28"/>
        </w:rPr>
        <w:t>II. Planteamiento.</w:t>
      </w:r>
    </w:p>
    <w:p>
      <w:pPr>
        <w:spacing w:line="360" w:lineRule="auto"/>
        <w:jc w:val="both"/>
      </w:pPr>
      <w:r>
        <w:rPr>
          <w:rFonts w:ascii="Arial" w:hAnsi="Arial"/>
          <w:b w:val="0"/>
          <w:i w:val="0"/>
          <w:sz w:val="28"/>
        </w:rPr>
        <w:t xml:space="preserve">El acto impugnado es la resolución </w:t>
      </w:r>
      <w:r>
        <w:rPr>
          <w:rFonts w:ascii="Arial" w:hAnsi="Arial"/>
          <w:b/>
          <w:i w:val="0"/>
          <w:sz w:val="28"/>
        </w:rPr>
        <w:t>[NÚMERO DE LA RESOLUCIÓN IMPUGNADA]</w:t>
      </w:r>
      <w:r>
        <w:rPr>
          <w:rFonts w:ascii="Arial" w:hAnsi="Arial"/>
          <w:b w:val="0"/>
          <w:i w:val="0"/>
          <w:sz w:val="28"/>
        </w:rPr>
        <w:t xml:space="preserve">, notificada el </w:t>
      </w:r>
      <w:r>
        <w:rPr>
          <w:rFonts w:ascii="Arial" w:hAnsi="Arial"/>
          <w:b/>
          <w:i w:val="0"/>
          <w:sz w:val="28"/>
        </w:rPr>
        <w:t>[FECHA DE NOTIFICACIÓN DE LA RESOLUCIÓN IMPUGNADA]</w:t>
      </w:r>
      <w:r>
        <w:rPr>
          <w:rFonts w:ascii="Arial" w:hAnsi="Arial"/>
          <w:b w:val="0"/>
          <w:i w:val="0"/>
          <w:sz w:val="28"/>
        </w:rPr>
        <w:t xml:space="preserve">, mediante la cual la demandada, con fundamento en los artículos 53 y 54 de la Ley Federal para la Prevención e Identificación de Operaciones con Recursos de Procedencia Ilícita (en lo sucesivo, LFPIORPI), impuso las sanciones </w:t>
      </w:r>
      <w:r>
        <w:rPr>
          <w:rFonts w:ascii="Arial" w:hAnsi="Arial"/>
          <w:b/>
          <w:i w:val="0"/>
          <w:sz w:val="28"/>
        </w:rPr>
        <w:t>[RELACIÓN DE LAS MULTAS IMPUESTAS Y SUS PRECEPTOS]</w:t>
      </w:r>
      <w:r>
        <w:rPr>
          <w:rFonts w:ascii="Arial" w:hAnsi="Arial"/>
          <w:b w:val="0"/>
          <w:i w:val="0"/>
          <w:sz w:val="28"/>
        </w:rPr>
        <w:t>, todas motivadas en que la parte actora habría desarrollado la actividad vulnerable inmobiliaria con las personas clientes que el propio oficio identifica.</w:t>
      </w:r>
    </w:p>
    <w:p>
      <w:pPr>
        <w:spacing w:line="360" w:lineRule="auto"/>
        <w:jc w:val="both"/>
      </w:pPr>
      <w:r>
        <w:rPr>
          <w:rFonts w:ascii="Arial" w:hAnsi="Arial"/>
          <w:b w:val="0"/>
          <w:i w:val="0"/>
          <w:sz w:val="28"/>
        </w:rPr>
        <w:t xml:space="preserve">Las normas constitucionales que se estiman vulneradas son el primer párrafo del artículo 16 de la Constitución Política de los Estados Unidos Mexicanos, que exige que todo acto de molestia funde y motive la causa legal del procedimiento, y el tercero de su numeral 14, que prohíbe imponer, </w:t>
      </w:r>
      <w:r>
        <w:rPr>
          <w:rFonts w:ascii="Arial" w:hAnsi="Arial"/>
          <w:b w:val="0"/>
          <w:i/>
          <w:sz w:val="28"/>
        </w:rPr>
        <w:t>“por simple analogía, y aún por mayoría de razón”</w:t>
      </w:r>
      <w:r>
        <w:rPr>
          <w:rFonts w:ascii="Arial" w:hAnsi="Arial"/>
          <w:b w:val="0"/>
          <w:i w:val="0"/>
          <w:sz w:val="28"/>
        </w:rPr>
        <w:t>, pena alguna que no esté decretada por una ley exactamente aplicable.</w:t>
      </w:r>
    </w:p>
    <w:p>
      <w:pPr>
        <w:spacing w:line="360" w:lineRule="auto"/>
        <w:jc w:val="both"/>
      </w:pPr>
      <w:r>
        <w:rPr>
          <w:rFonts w:ascii="Arial" w:hAnsi="Arial"/>
          <w:b w:val="0"/>
          <w:i w:val="0"/>
          <w:sz w:val="28"/>
        </w:rPr>
        <w:t>En el plano legal se infringen la fracción V del artículo 3 de la Ley Federal de Procedimiento Administrativo, que erige la fundamentación y la motivación en elemento y requisito del acto administrativo, así como los numerales 17, 18 y 53 de la LFPIORPI, que la demandada aplicó a hechos que esos preceptos no regulan.</w:t>
      </w:r>
    </w:p>
    <w:p>
      <w:pPr>
        <w:spacing w:line="360" w:lineRule="auto"/>
        <w:jc w:val="both"/>
      </w:pPr>
      <w:r>
        <w:rPr>
          <w:rFonts w:ascii="Arial" w:hAnsi="Arial"/>
          <w:b w:val="0"/>
          <w:i w:val="0"/>
          <w:sz w:val="28"/>
        </w:rPr>
        <w:t xml:space="preserve">El perjuicio es directo, porque la parte actora soporta sanciones pecuniarias por </w:t>
      </w:r>
      <w:r>
        <w:rPr>
          <w:rFonts w:ascii="Arial" w:hAnsi="Arial"/>
          <w:b/>
          <w:i w:val="0"/>
          <w:sz w:val="28"/>
        </w:rPr>
        <w:t>[MONTO TOTAL DE LAS MULTAS]</w:t>
      </w:r>
      <w:r>
        <w:rPr>
          <w:rFonts w:ascii="Arial" w:hAnsi="Arial"/>
          <w:b w:val="0"/>
          <w:i w:val="0"/>
          <w:sz w:val="28"/>
        </w:rPr>
        <w:t xml:space="preserve"> y queda tratada como sujeto obligado de un régimen de prevención de operaciones con recursos ilícitos que no le corresponde, mientras que el beneficio que persigue este concepto es el mayor posible, ya que su acogimiento conduce a la nulidad lisa y llana de la determinación completa, razón por la cual se solicita su estudio preferente conforme al segundo párrafo del artículo 50 de la Ley Federal de Procedimiento Contencioso Administrativo.</w:t>
      </w:r>
    </w:p>
    <w:p>
      <w:pPr>
        <w:spacing w:line="360" w:lineRule="auto"/>
        <w:jc w:val="both"/>
      </w:pPr>
      <w:r>
        <w:rPr>
          <w:rFonts w:ascii="Arial" w:hAnsi="Arial"/>
          <w:b/>
          <w:sz w:val="28"/>
        </w:rPr>
        <w:t>III. Desarrollo doctrinal y normativo. Premisa mayor.</w:t>
      </w:r>
    </w:p>
    <w:p>
      <w:pPr>
        <w:spacing w:line="360" w:lineRule="auto"/>
        <w:jc w:val="both"/>
      </w:pPr>
      <w:r>
        <w:rPr>
          <w:rFonts w:ascii="Arial" w:hAnsi="Arial"/>
          <w:b w:val="0"/>
          <w:i w:val="0"/>
          <w:sz w:val="28"/>
        </w:rPr>
        <w:t>El primer párrafo del artículo 16 constitucional obliga a la autoridad a expresar el precepto aplicable y las razones particulares por las que estima que el caso se ajusta a él, exigencia que la teoría del razonamiento jurídico identifica con la subsunción, operación deductiva en la que la hipótesis normativa funge como premisa mayor, el hecho condicionante como menor y la imputación de la consecuencia legal como conclusión.</w:t>
      </w:r>
      <w:r>
        <w:rPr>
          <w:rFonts w:ascii="Arial" w:hAnsi="Arial"/>
          <w:vertAlign w:val="superscript"/>
        </w:rPr>
        <w:t>1</w:t>
      </w:r>
    </w:p>
    <w:p>
      <w:pPr>
        <w:spacing w:line="360" w:lineRule="auto"/>
        <w:jc w:val="both"/>
      </w:pPr>
      <w:r>
        <w:rPr>
          <w:rFonts w:ascii="Arial" w:hAnsi="Arial"/>
          <w:b w:val="0"/>
          <w:i w:val="0"/>
          <w:sz w:val="28"/>
        </w:rPr>
        <w:t>Un acto sancionador queda indebidamente fundado y motivado cuando invoca un precepto cuyo supuesto no se actualiza o cuando describe los hechos con una fórmula que omite elementos que el legislador incluyó, pues en ambos casos falta la adecuación entre los motivos aducidos y la norma aplicada, que la fracción V del artículo 3 de la Ley Federal de Procedimiento Administrativo eleva a requisito de validez.</w:t>
      </w:r>
    </w:p>
    <w:p>
      <w:pPr>
        <w:spacing w:line="360" w:lineRule="auto"/>
        <w:jc w:val="both"/>
      </w:pPr>
      <w:r>
        <w:rPr>
          <w:rFonts w:ascii="Arial" w:hAnsi="Arial"/>
          <w:b w:val="0"/>
          <w:i w:val="0"/>
          <w:sz w:val="28"/>
        </w:rPr>
        <w:t>En el ámbito punitivo la exigencia se intensifica, porque la prohibición de imponer penas por analogía o mayoría de razón que consagra el tercer párrafo del artículo 14 constitucional, aunque formulada para los juicios del orden criminal, se extiende, según lo ha sistematizado la doctrina al estudiar la práctica interpretativa del Tribunal Electoral del Poder Judicial de la Federación, a toda sanción privativa o limitativa de derechos o bienes jurídicamente relevantes.</w:t>
      </w:r>
      <w:r>
        <w:rPr>
          <w:rFonts w:ascii="Arial" w:hAnsi="Arial"/>
          <w:vertAlign w:val="superscript"/>
        </w:rPr>
        <w:t>2</w:t>
      </w:r>
    </w:p>
    <w:p>
      <w:pPr>
        <w:spacing w:line="360" w:lineRule="auto"/>
        <w:jc w:val="both"/>
      </w:pPr>
      <w:r>
        <w:rPr>
          <w:rFonts w:ascii="Arial" w:hAnsi="Arial"/>
          <w:b w:val="0"/>
          <w:i w:val="0"/>
          <w:sz w:val="28"/>
        </w:rPr>
        <w:t>La doctrina constitucional denomina lex stricta, o mandato de exacta aplicación, a la vertiente de ese principio que obliga a juezas y jueces a aplicar la norma penal dentro del tenor literal o del sentido posible del texto legislativo, sin acudir a la analogía ni a la mayoría de razón.</w:t>
      </w:r>
      <w:r>
        <w:rPr>
          <w:rFonts w:ascii="Arial" w:hAnsi="Arial"/>
          <w:vertAlign w:val="superscript"/>
        </w:rPr>
        <w:t>3</w:t>
      </w:r>
    </w:p>
    <w:p>
      <w:pPr>
        <w:spacing w:line="360" w:lineRule="auto"/>
        <w:jc w:val="both"/>
      </w:pPr>
      <w:r>
        <w:rPr>
          <w:rFonts w:ascii="Arial" w:hAnsi="Arial"/>
          <w:b w:val="0"/>
          <w:i w:val="0"/>
          <w:sz w:val="28"/>
        </w:rPr>
        <w:t>Trasladada al derecho administrativo sancionador por la extensión ya descrita, esa exigencia impide a la autoridad alcanzar con una multa conductas que el legislador no describió.</w:t>
      </w:r>
    </w:p>
    <w:p>
      <w:pPr>
        <w:spacing w:line="360" w:lineRule="auto"/>
        <w:jc w:val="both"/>
      </w:pPr>
      <w:r>
        <w:rPr>
          <w:rFonts w:ascii="Arial" w:hAnsi="Arial"/>
          <w:b w:val="0"/>
          <w:i w:val="0"/>
          <w:sz w:val="28"/>
        </w:rPr>
        <w:t>En la explicación garantista, la motivación permite controlar una decisión punitiva tanto en derecho, por violación de ley o por defectos de interpretación o de subsunción, como en hecho, por insuficiencia de las pruebas que sostienen la hipótesis imputada.</w:t>
      </w:r>
      <w:r>
        <w:rPr>
          <w:rFonts w:ascii="Arial" w:hAnsi="Arial"/>
          <w:vertAlign w:val="superscript"/>
        </w:rPr>
        <w:t>4</w:t>
      </w:r>
    </w:p>
    <w:p>
      <w:pPr>
        <w:spacing w:line="360" w:lineRule="auto"/>
        <w:jc w:val="both"/>
      </w:pPr>
      <w:r>
        <w:rPr>
          <w:rFonts w:ascii="Arial" w:hAnsi="Arial"/>
          <w:b w:val="0"/>
          <w:i w:val="0"/>
          <w:sz w:val="28"/>
        </w:rPr>
        <w:t>De ahí que la autoridad que sanciona deba exponer, uno por uno, los motivos por los que la conducta encuadra en cada componente del tipo y las constancias que lo demuestran.</w:t>
      </w:r>
    </w:p>
    <w:p>
      <w:pPr>
        <w:spacing w:line="360" w:lineRule="auto"/>
        <w:jc w:val="both"/>
      </w:pPr>
      <w:r>
        <w:rPr>
          <w:rFonts w:ascii="Arial" w:hAnsi="Arial"/>
          <w:b w:val="0"/>
          <w:i w:val="0"/>
          <w:sz w:val="28"/>
        </w:rPr>
        <w:t xml:space="preserve">Sobre esas bases debe leerse la fracción V del primer párrafo del artículo 17 de la LFPIORPI, que describe como actividad vulnerable </w:t>
      </w:r>
      <w:r>
        <w:rPr>
          <w:rFonts w:ascii="Arial" w:hAnsi="Arial"/>
          <w:b w:val="0"/>
          <w:i/>
          <w:sz w:val="28"/>
        </w:rPr>
        <w:t>“La prestación habitual o profesional de servicios de construcción o desarrollo de bienes inmuebles o de intermediación en la transmisión de la propiedad o constitución de derechos sobre dichos bienes, en los que se involucren operaciones de compra o venta de los propios bienes por cuenta o a favor de clientes de quienes presten dichos servicios”</w:t>
      </w:r>
      <w:r>
        <w:rPr>
          <w:rFonts w:ascii="Arial" w:hAnsi="Arial"/>
          <w:b w:val="0"/>
          <w:i w:val="0"/>
          <w:sz w:val="28"/>
        </w:rPr>
        <w:t>.</w:t>
      </w:r>
    </w:p>
    <w:p>
      <w:pPr>
        <w:spacing w:line="360" w:lineRule="auto"/>
        <w:jc w:val="both"/>
      </w:pPr>
      <w:r>
        <w:rPr>
          <w:rFonts w:ascii="Arial" w:hAnsi="Arial"/>
          <w:b w:val="0"/>
          <w:i w:val="0"/>
          <w:sz w:val="28"/>
        </w:rPr>
        <w:t>La hipótesis se integra con cuatro elementos concurrentes, a saber, que la actividad se ejerza de manera habitual o profesional, que consista en la construcción o el desarrollo de inmuebles o en la intermediación en la transmisión de su propiedad o en la constitución de derechos sobre ellos, que en ella se involucren operaciones de compra o venta de los propios bienes y que esa compraventa se realice por cuenta o a favor de la clientela de quien presta el servicio.</w:t>
      </w:r>
    </w:p>
    <w:p>
      <w:pPr>
        <w:spacing w:line="360" w:lineRule="auto"/>
        <w:jc w:val="both"/>
      </w:pPr>
      <w:r>
        <w:rPr>
          <w:rFonts w:ascii="Arial" w:hAnsi="Arial"/>
          <w:b w:val="0"/>
          <w:i w:val="0"/>
          <w:sz w:val="28"/>
        </w:rPr>
        <w:t xml:space="preserve">La oración de relativo </w:t>
      </w:r>
      <w:r>
        <w:rPr>
          <w:rFonts w:ascii="Arial" w:hAnsi="Arial"/>
          <w:b w:val="0"/>
          <w:i/>
          <w:sz w:val="28"/>
        </w:rPr>
        <w:t>“en los que se involucren operaciones de compra o venta”</w:t>
      </w:r>
      <w:r>
        <w:rPr>
          <w:rFonts w:ascii="Arial" w:hAnsi="Arial"/>
          <w:b w:val="0"/>
          <w:i w:val="0"/>
          <w:sz w:val="28"/>
        </w:rPr>
        <w:t xml:space="preserve"> remite a los </w:t>
      </w:r>
      <w:r>
        <w:rPr>
          <w:rFonts w:ascii="Arial" w:hAnsi="Arial"/>
          <w:b w:val="0"/>
          <w:i/>
          <w:sz w:val="28"/>
        </w:rPr>
        <w:t>“servicios”</w:t>
      </w:r>
      <w:r>
        <w:rPr>
          <w:rFonts w:ascii="Arial" w:hAnsi="Arial"/>
          <w:b w:val="0"/>
          <w:i w:val="0"/>
          <w:sz w:val="28"/>
        </w:rPr>
        <w:t xml:space="preserve"> enunciados al inicio de la fracción, por lo que el requisito de que medie una enajenación de los propios bienes por cuenta o a favor de clientes califica por igual a la construcción, al desarrollo y a la intermediación, y una obra o un trabajo de conservación contratado por quien ya dispone del inmueble, sin compraventa de por medio, queda fuera del supuesto aunque recaiga sobre un bien raíz.</w:t>
      </w:r>
    </w:p>
    <w:p>
      <w:pPr>
        <w:spacing w:line="360" w:lineRule="auto"/>
        <w:jc w:val="both"/>
      </w:pPr>
      <w:r>
        <w:rPr>
          <w:rFonts w:ascii="Arial" w:hAnsi="Arial"/>
          <w:b w:val="0"/>
          <w:i w:val="0"/>
          <w:sz w:val="28"/>
        </w:rPr>
        <w:t xml:space="preserve">El artículo 18 de la LFPIORPI comienza por delimitar a sus destinatarios, pues impone las obligaciones de identificación, resguardo y demás que enumera a </w:t>
      </w:r>
      <w:r>
        <w:rPr>
          <w:rFonts w:ascii="Arial" w:hAnsi="Arial"/>
          <w:b w:val="0"/>
          <w:i/>
          <w:sz w:val="28"/>
        </w:rPr>
        <w:t>“Quienes realicen las Actividades Vulnerables a que se refiere el artículo anterior”</w:t>
      </w:r>
      <w:r>
        <w:rPr>
          <w:rFonts w:ascii="Arial" w:hAnsi="Arial"/>
          <w:b w:val="0"/>
          <w:i w:val="0"/>
          <w:sz w:val="28"/>
        </w:rPr>
        <w:t>, de manera que la realización de una actividad vulnerable es el antecedente necesario de cada uno de esos deberes.</w:t>
      </w:r>
    </w:p>
    <w:p>
      <w:pPr>
        <w:spacing w:line="360" w:lineRule="auto"/>
        <w:jc w:val="both"/>
      </w:pPr>
      <w:r>
        <w:rPr>
          <w:rFonts w:ascii="Arial" w:hAnsi="Arial"/>
          <w:b w:val="0"/>
          <w:i w:val="0"/>
          <w:sz w:val="28"/>
        </w:rPr>
        <w:t xml:space="preserve">Las sanciones guardan idéntica dependencia, porque el artículo 53 castiga, en su fracción II, a quienes </w:t>
      </w:r>
      <w:r>
        <w:rPr>
          <w:rFonts w:ascii="Arial" w:hAnsi="Arial"/>
          <w:b w:val="0"/>
          <w:i/>
          <w:sz w:val="28"/>
        </w:rPr>
        <w:t>“Incumplan con cualquiera de las obligaciones establecidas en el artículo 18 de esta Ley”</w:t>
      </w:r>
      <w:r>
        <w:rPr>
          <w:rFonts w:ascii="Arial" w:hAnsi="Arial"/>
          <w:b w:val="0"/>
          <w:i w:val="0"/>
          <w:sz w:val="28"/>
        </w:rPr>
        <w:t xml:space="preserve"> y, en la IV, a quienes </w:t>
      </w:r>
      <w:r>
        <w:rPr>
          <w:rFonts w:ascii="Arial" w:hAnsi="Arial"/>
          <w:b w:val="0"/>
          <w:i/>
          <w:sz w:val="28"/>
        </w:rPr>
        <w:t>“Omitan presentar los Avisos a que se refiere el artículo 17 de esta Ley”</w:t>
      </w:r>
      <w:r>
        <w:rPr>
          <w:rFonts w:ascii="Arial" w:hAnsi="Arial"/>
          <w:b w:val="0"/>
          <w:i w:val="0"/>
          <w:sz w:val="28"/>
        </w:rPr>
        <w:t>, mientras que el deber de aviso sólo surge cuando el acto, por sí solo o sumado a otros en los términos que la propia ley prevé, iguala o rebasa el umbral que fija la porción normativa que describe la actividad, dato que la autoridad debe cuantificar caso por caso.</w:t>
      </w:r>
    </w:p>
    <w:p>
      <w:pPr>
        <w:spacing w:line="360" w:lineRule="auto"/>
        <w:jc w:val="both"/>
      </w:pPr>
      <w:r>
        <w:rPr>
          <w:rFonts w:ascii="Arial" w:hAnsi="Arial"/>
          <w:b w:val="0"/>
          <w:i w:val="0"/>
          <w:sz w:val="28"/>
        </w:rPr>
        <w:t>La obligación relativa a los mecanismos de seguimiento y acumulación de actos u operaciones corre la misma suerte, pues la resolución impugnada la vincula con la identificación de los umbrales de la actividad vulnerable, propósito que carece de materia para quien no la realiza.</w:t>
      </w:r>
    </w:p>
    <w:p>
      <w:pPr>
        <w:spacing w:line="360" w:lineRule="auto"/>
        <w:jc w:val="both"/>
      </w:pPr>
      <w:r>
        <w:rPr>
          <w:rFonts w:ascii="Arial" w:hAnsi="Arial"/>
          <w:b w:val="0"/>
          <w:i w:val="0"/>
          <w:sz w:val="28"/>
        </w:rPr>
        <w:t xml:space="preserve">En cuanto a la distribución de cargas, el artículo 42 de la Ley Federal de Procedimiento Contencioso Administrativo presume legales los actos administrativos y sólo traslada a la autoridad la prueba de los hechos que los motivan cuando la persona afectada los niega lisa y llanamente, </w:t>
      </w:r>
      <w:r>
        <w:rPr>
          <w:rFonts w:ascii="Arial" w:hAnsi="Arial"/>
          <w:b w:val="0"/>
          <w:i/>
          <w:sz w:val="28"/>
        </w:rPr>
        <w:t>“a menos que la negativa implique la afirmación de otro hecho”</w:t>
      </w:r>
      <w:r>
        <w:rPr>
          <w:rFonts w:ascii="Arial" w:hAnsi="Arial"/>
          <w:b w:val="0"/>
          <w:i w:val="0"/>
          <w:sz w:val="28"/>
        </w:rPr>
        <w:t>; por ello, quien sostiene que prestó un servicio distinto del imputado debe acreditarlo y, una vez que lo consigue, corresponde a la demandada justificar con constancias cada elemento de la hipótesis sancionadora.</w:t>
      </w:r>
    </w:p>
    <w:p>
      <w:pPr>
        <w:spacing w:line="360" w:lineRule="auto"/>
        <w:jc w:val="both"/>
      </w:pPr>
      <w:r>
        <w:rPr>
          <w:rFonts w:ascii="Arial" w:hAnsi="Arial"/>
          <w:b/>
          <w:sz w:val="28"/>
        </w:rPr>
        <w:t>IV. Aplicación al caso concreto y refutación de la motivación de la autoridad.</w:t>
      </w:r>
    </w:p>
    <w:p>
      <w:pPr>
        <w:spacing w:line="360" w:lineRule="auto"/>
        <w:jc w:val="both"/>
      </w:pPr>
      <w:r>
        <w:rPr>
          <w:rFonts w:ascii="Arial" w:hAnsi="Arial"/>
          <w:b w:val="0"/>
          <w:i w:val="0"/>
          <w:sz w:val="28"/>
        </w:rPr>
        <w:t xml:space="preserve">La resolución impugnada, en sus páginas </w:t>
      </w:r>
      <w:r>
        <w:rPr>
          <w:rFonts w:ascii="Arial" w:hAnsi="Arial"/>
          <w:b/>
          <w:i w:val="0"/>
          <w:sz w:val="28"/>
        </w:rPr>
        <w:t>[PÁGINAS DE LA RESOLUCIÓN DONDE SE CALIFICA LA ACTIVIDAD]</w:t>
      </w:r>
      <w:r>
        <w:rPr>
          <w:rFonts w:ascii="Arial" w:hAnsi="Arial"/>
          <w:b w:val="0"/>
          <w:i w:val="0"/>
          <w:sz w:val="28"/>
        </w:rPr>
        <w:t xml:space="preserve">, califica los actos celebrados por la parte actora durante </w:t>
      </w:r>
      <w:r>
        <w:rPr>
          <w:rFonts w:ascii="Arial" w:hAnsi="Arial"/>
          <w:b/>
          <w:i w:val="0"/>
          <w:sz w:val="28"/>
        </w:rPr>
        <w:t>[EJERCICIO O PERIODO DE LAS OPERACIONES]</w:t>
      </w:r>
      <w:r>
        <w:rPr>
          <w:rFonts w:ascii="Arial" w:hAnsi="Arial"/>
          <w:b w:val="0"/>
          <w:i w:val="0"/>
          <w:sz w:val="28"/>
        </w:rPr>
        <w:t xml:space="preserve"> como </w:t>
      </w:r>
      <w:r>
        <w:rPr>
          <w:rFonts w:ascii="Arial" w:hAnsi="Arial"/>
          <w:b w:val="0"/>
          <w:i/>
          <w:sz w:val="28"/>
        </w:rPr>
        <w:t>“[DENOMINACIÓN DE LA ACTIVIDAD SEGÚN LA RESOLUCIÓN]”</w:t>
      </w:r>
      <w:r>
        <w:rPr>
          <w:rFonts w:ascii="Arial" w:hAnsi="Arial"/>
          <w:b w:val="0"/>
          <w:i w:val="0"/>
          <w:sz w:val="28"/>
        </w:rPr>
        <w:t xml:space="preserve"> y, a partir de esa sola calificación, tiene por actualizadas las obligaciones de los artículos 17 y 18 de la LFPIORPI y por incumplidas cada una de ellas.</w:t>
      </w:r>
    </w:p>
    <w:p>
      <w:pPr>
        <w:spacing w:line="360" w:lineRule="auto"/>
        <w:jc w:val="both"/>
      </w:pPr>
      <w:r>
        <w:rPr>
          <w:rFonts w:ascii="Arial" w:hAnsi="Arial"/>
          <w:b w:val="0"/>
          <w:i w:val="0"/>
          <w:sz w:val="28"/>
        </w:rPr>
        <w:t xml:space="preserve">Los comprobantes fiscales digitales con folios </w:t>
      </w:r>
      <w:r>
        <w:rPr>
          <w:rFonts w:ascii="Arial" w:hAnsi="Arial"/>
          <w:b/>
          <w:i w:val="0"/>
          <w:sz w:val="28"/>
        </w:rPr>
        <w:t>[FOLIOS FISCALES DE LOS COMPROBANTES]</w:t>
      </w:r>
      <w:r>
        <w:rPr>
          <w:rFonts w:ascii="Arial" w:hAnsi="Arial"/>
          <w:b w:val="0"/>
          <w:i w:val="0"/>
          <w:sz w:val="28"/>
        </w:rPr>
        <w:t xml:space="preserve">, que se exhiben como </w:t>
      </w:r>
      <w:r>
        <w:rPr>
          <w:rFonts w:ascii="Arial" w:hAnsi="Arial"/>
          <w:b/>
          <w:i w:val="0"/>
          <w:sz w:val="28"/>
        </w:rPr>
        <w:t>[NÚMERO DE ANEXO DE LA DEMANDA]</w:t>
      </w:r>
      <w:r>
        <w:rPr>
          <w:rFonts w:ascii="Arial" w:hAnsi="Arial"/>
          <w:b w:val="0"/>
          <w:i w:val="0"/>
          <w:sz w:val="28"/>
        </w:rPr>
        <w:t xml:space="preserve"> junto con sus archivos XML, describen </w:t>
      </w:r>
      <w:r>
        <w:rPr>
          <w:rFonts w:ascii="Arial" w:hAnsi="Arial"/>
          <w:b/>
          <w:i w:val="0"/>
          <w:sz w:val="28"/>
        </w:rPr>
        <w:t>[DESCRIPCIÓN DE LOS SERVICIOS EN LOS COMPROBANTES]</w:t>
      </w:r>
      <w:r>
        <w:rPr>
          <w:rFonts w:ascii="Arial" w:hAnsi="Arial"/>
          <w:b w:val="0"/>
          <w:i w:val="0"/>
          <w:sz w:val="28"/>
        </w:rPr>
        <w:t xml:space="preserve"> como objeto de la contraprestación, sin consignar compra o venta de inmueble alguno por cuenta o a favor de quien recibió el servicio, de modo que acreditan la naturaleza real de las operaciones y desvirtúan la calificación de la autoridad.</w:t>
      </w:r>
    </w:p>
    <w:p>
      <w:pPr>
        <w:spacing w:line="360" w:lineRule="auto"/>
        <w:jc w:val="both"/>
      </w:pPr>
      <w:r>
        <w:rPr>
          <w:rFonts w:ascii="Arial" w:hAnsi="Arial"/>
          <w:b w:val="0"/>
          <w:i w:val="0"/>
          <w:sz w:val="28"/>
        </w:rPr>
        <w:t>La resolución, en cambio, no expresa por qué esos trabajos se prestaron de manera habitual o profesional, no identifica qué inmueble se compró o vendió, quién lo enajenó ni por cuenta o a favor de quién, no precisa el precio de compraventa alguna y tampoco compara el importe de cada acto con el umbral de aviso, de suerte que los elementos que distinguen la actividad vulnerable de cualquier servicio relacionado con inmuebles, así como la condición cuantitativa de esa obligación, quedaron sin motivación.</w:t>
      </w:r>
    </w:p>
    <w:p>
      <w:pPr>
        <w:spacing w:line="360" w:lineRule="auto"/>
        <w:jc w:val="both"/>
      </w:pPr>
      <w:r>
        <w:rPr>
          <w:rFonts w:ascii="Arial" w:hAnsi="Arial"/>
          <w:b w:val="0"/>
          <w:i w:val="0"/>
          <w:sz w:val="28"/>
        </w:rPr>
        <w:t xml:space="preserve">La fórmula </w:t>
      </w:r>
      <w:r>
        <w:rPr>
          <w:rFonts w:ascii="Arial" w:hAnsi="Arial"/>
          <w:b w:val="0"/>
          <w:i/>
          <w:sz w:val="28"/>
        </w:rPr>
        <w:t>“[DENOMINACIÓN DE LA ACTIVIDAD SEGÚN LA RESOLUCIÓN]”</w:t>
      </w:r>
      <w:r>
        <w:rPr>
          <w:rFonts w:ascii="Arial" w:hAnsi="Arial"/>
          <w:b w:val="0"/>
          <w:i w:val="0"/>
          <w:sz w:val="28"/>
        </w:rPr>
        <w:t xml:space="preserve"> que emplea la autoridad no reproduce la descripción legal, porque suprime la habitualidad o profesionalidad, la intermediación y la exigencia de que se involucren operaciones de compra o venta por cuenta o a favor de clientes, y con esa supresión sustituye el tipo que el legislador redactó por otro, más amplio, en el que cabe cualquier servicio vinculado con un inmueble.</w:t>
      </w:r>
    </w:p>
    <w:p>
      <w:pPr>
        <w:spacing w:line="360" w:lineRule="auto"/>
        <w:jc w:val="both"/>
      </w:pPr>
      <w:r>
        <w:rPr>
          <w:rFonts w:ascii="Arial" w:hAnsi="Arial"/>
          <w:b w:val="0"/>
          <w:i w:val="0"/>
          <w:sz w:val="28"/>
        </w:rPr>
        <w:t>La demandada incurre así en petición de principio, falacia que consiste en postular como premisa lo mismo que debía demostrarse, pues toma como punto de partida que los servicios constituían la actividad vulnerable inmobiliaria, que era justamente la conclusión por probar, y de esa base sin respaldo deriva las obligaciones, los incumplimientos y las multas.</w:t>
      </w:r>
      <w:r>
        <w:rPr>
          <w:rFonts w:ascii="Arial" w:hAnsi="Arial"/>
          <w:vertAlign w:val="superscript"/>
        </w:rPr>
        <w:t>5</w:t>
      </w:r>
    </w:p>
    <w:p>
      <w:pPr>
        <w:spacing w:line="360" w:lineRule="auto"/>
        <w:jc w:val="both"/>
      </w:pPr>
      <w:r>
        <w:rPr>
          <w:rFonts w:ascii="Arial" w:hAnsi="Arial"/>
          <w:b w:val="0"/>
          <w:i w:val="0"/>
          <w:sz w:val="28"/>
        </w:rPr>
        <w:t xml:space="preserve">Equiparar un servicio de </w:t>
      </w:r>
      <w:r>
        <w:rPr>
          <w:rFonts w:ascii="Arial" w:hAnsi="Arial"/>
          <w:b/>
          <w:i w:val="0"/>
          <w:sz w:val="28"/>
        </w:rPr>
        <w:t>[DESCRIPCIÓN DE LOS SERVICIOS EN LOS COMPROBANTES]</w:t>
      </w:r>
      <w:r>
        <w:rPr>
          <w:rFonts w:ascii="Arial" w:hAnsi="Arial"/>
          <w:b w:val="0"/>
          <w:i w:val="0"/>
          <w:sz w:val="28"/>
        </w:rPr>
        <w:t xml:space="preserve"> con la actividad vulnerable inmobiliaria constituye una falsa analogía, defecto del razonamiento por semejanza que descansa en un parecido sin peso o pasa por alto las diferencias que bloquean la conclusión, porque la coincidencia de que ambos versan sobre inmuebles carece de relevancia típica y lo que se omite, la falta de compraventa por cuenta o a favor de clientes, es justamente el rasgo que el legislador eligió como definitorio.</w:t>
      </w:r>
      <w:r>
        <w:rPr>
          <w:rFonts w:ascii="Arial" w:hAnsi="Arial"/>
          <w:vertAlign w:val="superscript"/>
        </w:rPr>
        <w:t>6</w:t>
      </w:r>
    </w:p>
    <w:p>
      <w:pPr>
        <w:spacing w:line="360" w:lineRule="auto"/>
        <w:jc w:val="both"/>
      </w:pPr>
      <w:r>
        <w:rPr>
          <w:rFonts w:ascii="Arial" w:hAnsi="Arial"/>
          <w:b w:val="0"/>
          <w:i w:val="0"/>
          <w:sz w:val="28"/>
        </w:rPr>
        <w:t>La equiparación descrita reproduce, en sede administrativa, la aplicación analógica de una norma sancionadora que prohíbe el tercer párrafo del artículo 14 constitucional, pues extiende la consecuencia punitiva prevista para quien interviene en la compraventa de inmuebles a quien sólo prestó un servicio de obra o de conservación, con lo cual la autoridad crea un supuesto de infracción que la ley no contiene.</w:t>
      </w:r>
    </w:p>
    <w:p>
      <w:pPr>
        <w:spacing w:line="360" w:lineRule="auto"/>
        <w:jc w:val="both"/>
      </w:pPr>
      <w:r>
        <w:rPr>
          <w:rFonts w:ascii="Arial" w:hAnsi="Arial"/>
          <w:b w:val="0"/>
          <w:i w:val="0"/>
          <w:sz w:val="28"/>
        </w:rPr>
        <w:t>Desvirtuada la premisa, todas las sanciones quedan sin sustento, porque los deberes de identificar a la clientela y de resguardar la información de soporte previstos en las fracciones I y IV del artículo 18, el relativo a los mecanismos de seguimiento y acumulación y el de presentar avisos nunca nacieron a cargo de la parte actora, y sin obligación incumplida tampoco se actualizan los supuestos sancionadores del numeral 53 que la autoridad invocó.</w:t>
      </w:r>
    </w:p>
    <w:p>
      <w:pPr>
        <w:spacing w:line="360" w:lineRule="auto"/>
        <w:jc w:val="both"/>
      </w:pPr>
      <w:r>
        <w:rPr>
          <w:rFonts w:ascii="Arial" w:hAnsi="Arial"/>
          <w:b w:val="0"/>
          <w:i w:val="0"/>
          <w:sz w:val="28"/>
        </w:rPr>
        <w:t>Igual suerte corre la multa que, en su caso, se haya impuesto por no exhibir la documentación de esos mecanismos durante la revisión, ya que la autoridad no puede exigir la prueba del cumplimiento de un deber que nunca surgió ni sancionar la falta de exhibición de documentos cuya elaboración la ley no imponía a la parte actora.</w:t>
      </w:r>
    </w:p>
    <w:p>
      <w:pPr>
        <w:spacing w:line="360" w:lineRule="auto"/>
        <w:jc w:val="both"/>
      </w:pPr>
      <w:r>
        <w:rPr>
          <w:rFonts w:ascii="Arial" w:hAnsi="Arial"/>
          <w:b w:val="0"/>
          <w:i w:val="0"/>
          <w:sz w:val="28"/>
        </w:rPr>
        <w:t>En un asunto con rasgos análogos, resuelto en 2026, una Sala Regional de este Tribunal declaró fundado un planteamiento de esta naturaleza y decretó la nulidad, que en sus consideraciones calificó de lisa y llana, de la resolución que impuso multas por los mismos conceptos, al advertir que los comprobantes fiscales describían servicios de mantenimiento y de construcción que no actualizaban la actividad vulnerable imputada, criterio que se invoca sólo con fines ilustrativos, porque no constituye precedente obligatorio.</w:t>
      </w:r>
    </w:p>
    <w:p>
      <w:pPr>
        <w:spacing w:line="360" w:lineRule="auto"/>
        <w:jc w:val="both"/>
      </w:pPr>
      <w:r>
        <w:rPr>
          <w:rFonts w:ascii="Arial" w:hAnsi="Arial"/>
          <w:b w:val="0"/>
          <w:i w:val="0"/>
          <w:sz w:val="28"/>
        </w:rPr>
        <w:t>No obsta que la demandada invoque la presunción de legalidad del artículo 42 de la Ley Federal de Procedimiento Contencioso Administrativo, toda vez que la parte actora, además de controvertir la calificación, afirma y demuestra con documentos fiscales la naturaleza distinta de sus servicios, y frente a esa prueba la autoridad tenía que haber motivado en la resolución cada elemento del tipo.</w:t>
      </w:r>
    </w:p>
    <w:p>
      <w:pPr>
        <w:spacing w:line="360" w:lineRule="auto"/>
        <w:jc w:val="both"/>
      </w:pPr>
      <w:r>
        <w:rPr>
          <w:rFonts w:ascii="Arial" w:hAnsi="Arial"/>
          <w:b w:val="0"/>
          <w:i w:val="0"/>
          <w:sz w:val="28"/>
        </w:rPr>
        <w:t>Resulta igualmente ineficaz el argumento de que la fracción V menciona los servicios de construcción, porque la coincidencia de una palabra no colma el tipo, que exige además habitualidad o profesionalidad y la intervención en compras o ventas de los propios bienes por cuenta o a favor de clientes, elementos que la resolución no examinó.</w:t>
      </w:r>
    </w:p>
    <w:p>
      <w:pPr>
        <w:spacing w:line="360" w:lineRule="auto"/>
        <w:jc w:val="both"/>
      </w:pPr>
      <w:r>
        <w:rPr>
          <w:rFonts w:ascii="Arial" w:hAnsi="Arial"/>
          <w:b w:val="0"/>
          <w:i w:val="0"/>
          <w:sz w:val="28"/>
        </w:rPr>
        <w:t xml:space="preserve">El primer párrafo del artículo 22 de la Ley Federal de Procedimiento Contencioso Administrativo impide a la autoridad incorporar esos elementos durante el juicio, al disponer que en la contestación </w:t>
      </w:r>
      <w:r>
        <w:rPr>
          <w:rFonts w:ascii="Arial" w:hAnsi="Arial"/>
          <w:b w:val="0"/>
          <w:i/>
          <w:sz w:val="28"/>
        </w:rPr>
        <w:t>“no podrán cambiarse los fundamentos de derecho de la resolución impugnada”</w:t>
      </w:r>
      <w:r>
        <w:rPr>
          <w:rFonts w:ascii="Arial" w:hAnsi="Arial"/>
          <w:b w:val="0"/>
          <w:i w:val="0"/>
          <w:sz w:val="28"/>
        </w:rPr>
        <w:t>, de manera que la legalidad del acto se juzga con la motivación que expresó al emitirse.</w:t>
      </w:r>
    </w:p>
    <w:p>
      <w:pPr>
        <w:spacing w:line="360" w:lineRule="auto"/>
        <w:jc w:val="both"/>
      </w:pPr>
      <w:r>
        <w:rPr>
          <w:rFonts w:ascii="Arial" w:hAnsi="Arial"/>
          <w:b w:val="0"/>
          <w:i w:val="0"/>
          <w:sz w:val="28"/>
        </w:rPr>
        <w:t xml:space="preserve">En consecuencia, la resolución se dictó a partir de hechos apreciados en forma equivocada y con aplicación de disposiciones que no regulaban la conducta de la parte actora, supuestos que la fracción IV del artículo 51 de la Ley Federal de Procedimiento Contencioso Administrativo describe como causal de ilegalidad </w:t>
      </w:r>
      <w:r>
        <w:rPr>
          <w:rFonts w:ascii="Arial" w:hAnsi="Arial"/>
          <w:b w:val="0"/>
          <w:i/>
          <w:sz w:val="28"/>
        </w:rPr>
        <w:t>“en cuanto al fondo del asunto”</w:t>
      </w:r>
      <w:r>
        <w:rPr>
          <w:rFonts w:ascii="Arial" w:hAnsi="Arial"/>
          <w:b w:val="0"/>
          <w:i w:val="0"/>
          <w:sz w:val="28"/>
        </w:rPr>
        <w:t>.</w:t>
      </w:r>
    </w:p>
    <w:p>
      <w:pPr>
        <w:spacing w:line="360" w:lineRule="auto"/>
        <w:jc w:val="both"/>
      </w:pPr>
      <w:r>
        <w:rPr>
          <w:rFonts w:ascii="Arial" w:hAnsi="Arial"/>
          <w:b/>
          <w:sz w:val="28"/>
        </w:rPr>
        <w:t>V. Conclusión y petición parcial.</w:t>
      </w:r>
    </w:p>
    <w:p>
      <w:pPr>
        <w:spacing w:line="360" w:lineRule="auto"/>
        <w:jc w:val="both"/>
      </w:pPr>
      <w:r>
        <w:rPr>
          <w:rFonts w:ascii="Arial" w:hAnsi="Arial"/>
          <w:b w:val="0"/>
          <w:i w:val="0"/>
          <w:sz w:val="28"/>
        </w:rPr>
        <w:t>Por lo expuesto, toda vez que los servicios de la parte actora no reúnen los elementos que configuran la actividad vulnerable inmobiliaria, que la autoridad sustituyó la descripción legal por una fórmula propia y que todas las obligaciones sancionadas dependen de esa premisa, las multas impuestas carecen de tipicidad y de debida fundamentación y motivación.</w:t>
      </w:r>
    </w:p>
    <w:p>
      <w:pPr>
        <w:spacing w:line="360" w:lineRule="auto"/>
        <w:jc w:val="both"/>
      </w:pPr>
      <w:r>
        <w:rPr>
          <w:rFonts w:ascii="Arial" w:hAnsi="Arial"/>
          <w:b w:val="0"/>
          <w:i w:val="0"/>
          <w:sz w:val="28"/>
        </w:rPr>
        <w:t xml:space="preserve">Se solicita a esa Sala Regional que, en estudio preferente conforme al segundo párrafo del artículo 50 de la Ley Federal de Procedimiento Contencioso Administrativo, declare fundado este concepto de impugnación y, con apoyo en la fracción IV del numeral 51 y en la II del 52 del mismo ordenamiento, decrete la nulidad lisa y llana de la resolución </w:t>
      </w:r>
      <w:r>
        <w:rPr>
          <w:rFonts w:ascii="Arial" w:hAnsi="Arial"/>
          <w:b/>
          <w:i w:val="0"/>
          <w:sz w:val="28"/>
        </w:rPr>
        <w:t>[NÚMERO DE LA RESOLUCIÓN IMPUGNADA]</w:t>
      </w:r>
      <w:r>
        <w:rPr>
          <w:rFonts w:ascii="Arial" w:hAnsi="Arial"/>
          <w:b w:val="0"/>
          <w:i w:val="0"/>
          <w:sz w:val="28"/>
        </w:rPr>
        <w:t xml:space="preserve"> en su integridad, sin que proceda ordenar la emisión de una nueva, toda vez que el vicio, por ser de fondo, queda fuera de las hipótesis formales o procedimentales que dan lugar a anular para efectos.</w:t>
      </w:r>
    </w:p>
    <w:p/>
    <w:p>
      <w:r>
        <w:rPr>
          <w:rFonts w:ascii="Arial" w:hAnsi="Arial"/>
          <w:b/>
          <w:sz w:val="22"/>
        </w:rPr>
        <w:t>NOTAS</w:t>
      </w:r>
    </w:p>
    <w:p>
      <w:pPr>
        <w:spacing w:after="60"/>
        <w:ind w:left="360" w:hanging="360"/>
        <w:jc w:val="both"/>
      </w:pPr>
      <w:r>
        <w:rPr>
          <w:rFonts w:ascii="Arial" w:hAnsi="Arial"/>
          <w:sz w:val="20"/>
          <w:vertAlign w:val="superscript"/>
        </w:rPr>
        <w:t>1</w:t>
      </w:r>
      <w:r>
        <w:rPr>
          <w:sz w:val="20"/>
        </w:rPr>
        <w:t xml:space="preserve"> </w:t>
      </w:r>
      <w:r>
        <w:rPr>
          <w:rFonts w:ascii="Arial" w:hAnsi="Arial"/>
          <w:i w:val="0"/>
          <w:sz w:val="20"/>
        </w:rPr>
        <w:t xml:space="preserve">LÓPEZ BELLO, Héctor, </w:t>
      </w:r>
      <w:r>
        <w:rPr>
          <w:rFonts w:ascii="Arial" w:hAnsi="Arial"/>
          <w:i/>
          <w:sz w:val="20"/>
        </w:rPr>
        <w:t>Manual de lógica formal para su empleo práctico en el derecho. Elementos de razonamiento lógico para la justicia administrativa</w:t>
      </w:r>
      <w:r>
        <w:rPr>
          <w:rFonts w:ascii="Arial" w:hAnsi="Arial"/>
          <w:i w:val="0"/>
          <w:sz w:val="20"/>
        </w:rPr>
        <w:t>, Tribunal Federal de Justicia Administrativa, México, 2018, p. 230.</w:t>
      </w:r>
    </w:p>
    <w:p>
      <w:pPr>
        <w:spacing w:after="60"/>
        <w:ind w:left="360" w:hanging="360"/>
        <w:jc w:val="both"/>
      </w:pPr>
      <w:r>
        <w:rPr>
          <w:rFonts w:ascii="Arial" w:hAnsi="Arial"/>
          <w:sz w:val="20"/>
          <w:vertAlign w:val="superscript"/>
        </w:rPr>
        <w:t>2</w:t>
      </w:r>
      <w:r>
        <w:rPr>
          <w:sz w:val="20"/>
        </w:rPr>
        <w:t xml:space="preserve"> </w:t>
      </w:r>
      <w:r>
        <w:rPr>
          <w:rFonts w:ascii="Arial" w:hAnsi="Arial"/>
          <w:i w:val="0"/>
          <w:sz w:val="20"/>
        </w:rPr>
        <w:t xml:space="preserve">EZQUIAGA GANUZAS, Francisco Javier, </w:t>
      </w:r>
      <w:r>
        <w:rPr>
          <w:rFonts w:ascii="Arial" w:hAnsi="Arial"/>
          <w:i/>
          <w:sz w:val="20"/>
        </w:rPr>
        <w:t>La motivación de las decisiones interpretativas electorales</w:t>
      </w:r>
      <w:r>
        <w:rPr>
          <w:rFonts w:ascii="Arial" w:hAnsi="Arial"/>
          <w:i w:val="0"/>
          <w:sz w:val="20"/>
        </w:rPr>
        <w:t>, Tribunal Electoral del Poder Judicial de la Federación, México, 2012, p. 364.</w:t>
      </w:r>
    </w:p>
    <w:p>
      <w:pPr>
        <w:spacing w:after="60"/>
        <w:ind w:left="360" w:hanging="360"/>
        <w:jc w:val="both"/>
      </w:pPr>
      <w:r>
        <w:rPr>
          <w:rFonts w:ascii="Arial" w:hAnsi="Arial"/>
          <w:sz w:val="20"/>
          <w:vertAlign w:val="superscript"/>
        </w:rPr>
        <w:t>3</w:t>
      </w:r>
      <w:r>
        <w:rPr>
          <w:sz w:val="20"/>
        </w:rPr>
        <w:t xml:space="preserve"> </w:t>
      </w:r>
      <w:r>
        <w:rPr>
          <w:rFonts w:ascii="Arial" w:hAnsi="Arial"/>
          <w:i w:val="0"/>
          <w:sz w:val="20"/>
        </w:rPr>
        <w:t xml:space="preserve">IBARRA OLGUÍN, Ana María (ed.), </w:t>
      </w:r>
      <w:r>
        <w:rPr>
          <w:rFonts w:ascii="Arial" w:hAnsi="Arial"/>
          <w:i/>
          <w:sz w:val="20"/>
        </w:rPr>
        <w:t>Curso de derechos humanos</w:t>
      </w:r>
      <w:r>
        <w:rPr>
          <w:rFonts w:ascii="Arial" w:hAnsi="Arial"/>
          <w:i w:val="0"/>
          <w:sz w:val="20"/>
        </w:rPr>
        <w:t>, Tirant lo Blanch, México, 2022, p. 383.</w:t>
      </w:r>
    </w:p>
    <w:p>
      <w:pPr>
        <w:spacing w:after="60"/>
        <w:ind w:left="360" w:hanging="360"/>
        <w:jc w:val="both"/>
      </w:pPr>
      <w:r>
        <w:rPr>
          <w:rFonts w:ascii="Arial" w:hAnsi="Arial"/>
          <w:sz w:val="20"/>
          <w:vertAlign w:val="superscript"/>
        </w:rPr>
        <w:t>4</w:t>
      </w:r>
      <w:r>
        <w:rPr>
          <w:sz w:val="20"/>
        </w:rPr>
        <w:t xml:space="preserve"> </w:t>
      </w:r>
      <w:r>
        <w:rPr>
          <w:rFonts w:ascii="Arial" w:hAnsi="Arial"/>
          <w:i w:val="0"/>
          <w:sz w:val="20"/>
        </w:rPr>
        <w:t xml:space="preserve">FERRAJOLI, Luigi, </w:t>
      </w:r>
      <w:r>
        <w:rPr>
          <w:rFonts w:ascii="Arial" w:hAnsi="Arial"/>
          <w:i/>
          <w:sz w:val="20"/>
        </w:rPr>
        <w:t>Derecho y razón. Teoría del garantismo penal</w:t>
      </w:r>
      <w:r>
        <w:rPr>
          <w:rFonts w:ascii="Arial" w:hAnsi="Arial"/>
          <w:i w:val="0"/>
          <w:sz w:val="20"/>
        </w:rPr>
        <w:t>, trad. de Perfecto Andrés Ibáñez, Alfonso Ruiz Miguel, Juan Carlos Bayón Mohino, Juan Terradillos Basoco y Rocío Cantarero Bandrés, Trotta, Madrid, 1995, p. 623.</w:t>
      </w:r>
    </w:p>
    <w:p>
      <w:pPr>
        <w:spacing w:after="60"/>
        <w:ind w:left="360" w:hanging="360"/>
        <w:jc w:val="both"/>
      </w:pPr>
      <w:r>
        <w:rPr>
          <w:rFonts w:ascii="Arial" w:hAnsi="Arial"/>
          <w:sz w:val="20"/>
          <w:vertAlign w:val="superscript"/>
        </w:rPr>
        <w:t>5</w:t>
      </w:r>
      <w:r>
        <w:rPr>
          <w:sz w:val="20"/>
        </w:rPr>
        <w:t xml:space="preserve"> </w:t>
      </w: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 p. 73.</w:t>
      </w:r>
    </w:p>
    <w:p>
      <w:pPr>
        <w:spacing w:after="60"/>
        <w:ind w:left="360" w:hanging="360"/>
        <w:jc w:val="both"/>
      </w:pPr>
      <w:r>
        <w:rPr>
          <w:rFonts w:ascii="Arial" w:hAnsi="Arial"/>
          <w:sz w:val="20"/>
          <w:vertAlign w:val="superscript"/>
        </w:rPr>
        <w:t>6</w:t>
      </w:r>
      <w:r>
        <w:rPr>
          <w:sz w:val="20"/>
        </w:rPr>
        <w:t xml:space="preserve"> </w:t>
      </w:r>
      <w:r>
        <w:rPr>
          <w:rFonts w:ascii="Arial" w:hAnsi="Arial"/>
          <w:i w:val="0"/>
          <w:sz w:val="20"/>
        </w:rPr>
        <w:t>GARCÍA DAMBORENEA, op. cit.</w:t>
      </w:r>
      <w:r>
        <w:rPr>
          <w:rFonts w:ascii="Arial" w:hAnsi="Arial"/>
          <w:i w:val="0"/>
          <w:sz w:val="20"/>
        </w:rPr>
        <w:t>, p. 9.</w:t>
      </w:r>
    </w:p>
    <w:p/>
    <w:p>
      <w:r>
        <w:rPr>
          <w:rFonts w:ascii="Arial" w:hAnsi="Arial"/>
          <w:b/>
          <w:sz w:val="22"/>
        </w:rPr>
        <w:t>BIBLIOGRAFÍA</w:t>
      </w:r>
    </w:p>
    <w:p>
      <w:pPr>
        <w:spacing w:after="60"/>
        <w:ind w:left="360" w:hanging="360"/>
        <w:jc w:val="both"/>
      </w:pPr>
      <w:r>
        <w:rPr>
          <w:rFonts w:ascii="Arial" w:hAnsi="Arial"/>
          <w:i w:val="0"/>
          <w:sz w:val="20"/>
        </w:rPr>
        <w:t xml:space="preserve">EZQUIAGA GANUZAS, Francisco Javier, </w:t>
      </w:r>
      <w:r>
        <w:rPr>
          <w:rFonts w:ascii="Arial" w:hAnsi="Arial"/>
          <w:i/>
          <w:sz w:val="20"/>
        </w:rPr>
        <w:t>La motivación de las decisiones interpretativas electorales</w:t>
      </w:r>
      <w:r>
        <w:rPr>
          <w:rFonts w:ascii="Arial" w:hAnsi="Arial"/>
          <w:i w:val="0"/>
          <w:sz w:val="20"/>
        </w:rPr>
        <w:t>, Tribunal Electoral del Poder Judicial de la Federación, México, 2012.</w:t>
      </w:r>
    </w:p>
    <w:p>
      <w:pPr>
        <w:spacing w:after="60"/>
        <w:ind w:left="360" w:hanging="360"/>
        <w:jc w:val="both"/>
      </w:pPr>
      <w:r>
        <w:rPr>
          <w:rFonts w:ascii="Arial" w:hAnsi="Arial"/>
          <w:i w:val="0"/>
          <w:sz w:val="20"/>
        </w:rPr>
        <w:t xml:space="preserve">FERRAJOLI, Luigi, </w:t>
      </w:r>
      <w:r>
        <w:rPr>
          <w:rFonts w:ascii="Arial" w:hAnsi="Arial"/>
          <w:i/>
          <w:sz w:val="20"/>
        </w:rPr>
        <w:t>Derecho y razón. Teoría del garantismo penal</w:t>
      </w:r>
      <w:r>
        <w:rPr>
          <w:rFonts w:ascii="Arial" w:hAnsi="Arial"/>
          <w:i w:val="0"/>
          <w:sz w:val="20"/>
        </w:rPr>
        <w:t>, trad. de Perfecto Andrés Ibáñez, Alfonso Ruiz Miguel, Juan Carlos Bayón Mohino, Juan Terradillos Basoco y Rocío Cantarero Bandrés, Trotta, Madrid, 1995.</w:t>
      </w:r>
    </w:p>
    <w:p>
      <w:pPr>
        <w:spacing w:after="60"/>
        <w:ind w:left="360" w:hanging="360"/>
        <w:jc w:val="both"/>
      </w:pPr>
      <w:r>
        <w:rPr>
          <w:rFonts w:ascii="Arial" w:hAnsi="Arial"/>
          <w:i w:val="0"/>
          <w:sz w:val="20"/>
        </w:rPr>
        <w:t xml:space="preserve">GARCÍA DAMBORENEA, Ricardo, </w:t>
      </w:r>
      <w:r>
        <w:rPr>
          <w:rFonts w:ascii="Arial" w:hAnsi="Arial"/>
          <w:i/>
          <w:sz w:val="20"/>
        </w:rPr>
        <w:t>Diccionario de falacias</w:t>
      </w:r>
      <w:r>
        <w:rPr>
          <w:rFonts w:ascii="Arial" w:hAnsi="Arial"/>
          <w:i w:val="0"/>
          <w:sz w:val="20"/>
        </w:rPr>
        <w:t>, s. f.</w:t>
      </w:r>
    </w:p>
    <w:p>
      <w:pPr>
        <w:spacing w:after="60"/>
        <w:ind w:left="360" w:hanging="360"/>
        <w:jc w:val="both"/>
      </w:pPr>
      <w:r>
        <w:rPr>
          <w:rFonts w:ascii="Arial" w:hAnsi="Arial"/>
          <w:i w:val="0"/>
          <w:sz w:val="20"/>
        </w:rPr>
        <w:t xml:space="preserve">IBARRA OLGUÍN, Ana María (ed.), </w:t>
      </w:r>
      <w:r>
        <w:rPr>
          <w:rFonts w:ascii="Arial" w:hAnsi="Arial"/>
          <w:i/>
          <w:sz w:val="20"/>
        </w:rPr>
        <w:t>Curso de derechos humanos</w:t>
      </w:r>
      <w:r>
        <w:rPr>
          <w:rFonts w:ascii="Arial" w:hAnsi="Arial"/>
          <w:i w:val="0"/>
          <w:sz w:val="20"/>
        </w:rPr>
        <w:t>, Tirant lo Blanch, México, 2022.</w:t>
      </w:r>
    </w:p>
    <w:p>
      <w:pPr>
        <w:spacing w:after="60"/>
        <w:ind w:left="360" w:hanging="360"/>
        <w:jc w:val="both"/>
      </w:pPr>
      <w:r>
        <w:rPr>
          <w:rFonts w:ascii="Arial" w:hAnsi="Arial"/>
          <w:i w:val="0"/>
          <w:sz w:val="20"/>
        </w:rPr>
        <w:t xml:space="preserve">LÓPEZ BELLO, Héctor, </w:t>
      </w:r>
      <w:r>
        <w:rPr>
          <w:rFonts w:ascii="Arial" w:hAnsi="Arial"/>
          <w:i/>
          <w:sz w:val="20"/>
        </w:rPr>
        <w:t>Manual de lógica formal para su empleo práctico en el derecho. Elementos de razonamiento lógico para la justicia administrativa</w:t>
      </w:r>
      <w:r>
        <w:rPr>
          <w:rFonts w:ascii="Arial" w:hAnsi="Arial"/>
          <w:i w:val="0"/>
          <w:sz w:val="20"/>
        </w:rPr>
        <w:t>, Tribunal Federal de Justicia Administrativa, México, 2018.</w:t>
      </w:r>
    </w:p>
    <w:sectPr w:rsidR="00FC693F" w:rsidRPr="0006063C" w:rsidSect="00034616">
      <w:footerReference w:type="default" r:id="rId9"/>
      <w:pgSz w:w="12246" w:h="19276"/>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t xml:space="preserve">Página </w:t>
    </w:r>
    <w:r>
      <w:rPr>
        <w:rFonts w:ascii="Arial" w:hAnsi="Arial"/>
        <w:sz w:val="20"/>
      </w:rPr>
      <w:fldChar w:fldCharType="begin"/>
      <w:instrText xml:space="preserve">PAGE</w:instrText>
      <w:fldChar w:fldCharType="end"/>
    </w:r>
    <w:r>
      <w:rPr>
        <w:rFonts w:ascii="Arial" w:hAnsi="Arial"/>
        <w:sz w:val="20"/>
      </w:rPr>
      <w:t xml:space="preserve"> de </w:t>
    </w:r>
    <w:r>
      <w:rPr>
        <w:rFonts w:ascii="Arial" w:hAnsi="Arial"/>
        <w:sz w:val="20"/>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DocSecurity>0</DocSecurity>
  <ScaleCrop>false</ScaleCrop>
  <LinksUpToDate>false</LinksUpToDate>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category/>
</cp:coreProperties>
</file>