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DEVOLUCIÓN DEL SALDO A FAVOR DE ISR RETENIDO Y NO ENTERADO POR EL PATRÓN</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colócalo como concepto de impugnación de tu demanda de nulidad contra la negativa de devolución. Antes de llenarlo, reúne los comprobantes fiscales digitales por internet de nómina del ejercicio, la constancia anual de ingresos y retenciones que expidió tu patrón, la declaración anual, el acuse de la solicitud de devolución y el oficio de negativa, y confirma que la autoridad negó la devolución porque el patrón no enteró las retenciones, que es el vicio que el machote combate.</w:t>
      </w:r>
    </w:p>
    <w:p>
      <w:pPr>
        <w:spacing w:line="360" w:lineRule="auto"/>
        <w:jc w:val="both"/>
      </w:pPr>
      <w:r>
        <w:rPr>
          <w:rFonts w:ascii="Arial" w:hAnsi="Arial"/>
          <w:b w:val="0"/>
          <w:i w:val="0"/>
          <w:sz w:val="24"/>
        </w:rPr>
        <w:t>Después llena los campos editables, verifica cada cantidad contra tus documentos y ofrece en el capítulo de pruebas la pericial en materia contable, precisando los hechos sobre los que debe versar (ingresos totales, exentos y acumulables, impuesto retenido, deducciones personales y saldo a favor), porque de ella depende que el Tribunal pueda fijar el monto de tu derecho. Revisa la vía: desde la reforma publicada en el Diario Oficial de la Federación el 9 de junio de 2026, el artículo 58-2, fracción VI, de la Ley Federal de Procedimiento Contencioso Administrativo manda a la vía sumaria las respuestas a solicitudes de devolución de saldos a favor, siempre que su importe no exceda de treinta veces la Unidad de Medida y Actualización vigente elevada al año, como exige el párrafo primero de ese precepto; por encima de esa cuantía, la vía es la ordinaria. La demanda se presenta dentro de los treinta días siguientes a aquél en que surta efectos la notificación de la negativa, plazo que fija el párrafo tercero de ese artículo para la vía sumaria y el artículo 13, fracción I, para la ordinaria.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si es el único concepto, puedes suprimirlo.</w:t>
      </w:r>
    </w:p>
    <w:p>
      <w:pPr>
        <w:spacing w:line="360" w:lineRule="auto"/>
        <w:jc w:val="both"/>
      </w:pPr>
      <w:r>
        <w:rPr>
          <w:rFonts w:ascii="Arial" w:hAnsi="Arial"/>
          <w:b/>
          <w:i w:val="0"/>
          <w:sz w:val="24"/>
        </w:rPr>
        <w:t>[NÚMERO DE OFICIO DE LA RESOLUCIÓN IMPUGNADA]</w:t>
      </w:r>
      <w:r>
        <w:rPr>
          <w:rFonts w:ascii="Arial" w:hAnsi="Arial"/>
          <w:b w:val="0"/>
          <w:i w:val="0"/>
          <w:sz w:val="24"/>
        </w:rPr>
        <w:t>: el número completo del oficio que negó la devolución, tal como aparece en él.</w:t>
      </w:r>
    </w:p>
    <w:p>
      <w:pPr>
        <w:spacing w:line="360" w:lineRule="auto"/>
        <w:jc w:val="both"/>
      </w:pPr>
      <w:r>
        <w:rPr>
          <w:rFonts w:ascii="Arial" w:hAnsi="Arial"/>
          <w:b/>
          <w:i w:val="0"/>
          <w:sz w:val="24"/>
        </w:rPr>
        <w:t>[AUTORIDAD DEMANDADA]</w:t>
      </w:r>
      <w:r>
        <w:rPr>
          <w:rFonts w:ascii="Arial" w:hAnsi="Arial"/>
          <w:b w:val="0"/>
          <w:i w:val="0"/>
          <w:sz w:val="24"/>
        </w:rPr>
        <w:t>: la unidad administrativa del Servicio de Administración Tributaria que emitió la negativa, con su denominación completa y, en su caso, la suplencia con que firmó.</w:t>
      </w:r>
    </w:p>
    <w:p>
      <w:pPr>
        <w:spacing w:line="360" w:lineRule="auto"/>
        <w:jc w:val="both"/>
      </w:pPr>
      <w:r>
        <w:rPr>
          <w:rFonts w:ascii="Arial" w:hAnsi="Arial"/>
          <w:b/>
          <w:i w:val="0"/>
          <w:sz w:val="24"/>
        </w:rPr>
        <w:t>[NOMBRE DE LA PARTE ACTORA]</w:t>
      </w:r>
      <w:r>
        <w:rPr>
          <w:rFonts w:ascii="Arial" w:hAnsi="Arial"/>
          <w:b w:val="0"/>
          <w:i w:val="0"/>
          <w:sz w:val="24"/>
        </w:rPr>
        <w:t>: el nombre de la persona trabajadora que solicitó la devolución.</w:t>
      </w:r>
    </w:p>
    <w:p>
      <w:pPr>
        <w:spacing w:line="360" w:lineRule="auto"/>
        <w:jc w:val="both"/>
      </w:pPr>
      <w:r>
        <w:rPr>
          <w:rFonts w:ascii="Arial" w:hAnsi="Arial"/>
          <w:b/>
          <w:i w:val="0"/>
          <w:sz w:val="24"/>
        </w:rPr>
        <w:t>[EJERCICIO FISCAL]</w:t>
      </w:r>
      <w:r>
        <w:rPr>
          <w:rFonts w:ascii="Arial" w:hAnsi="Arial"/>
          <w:b w:val="0"/>
          <w:i w:val="0"/>
          <w:sz w:val="24"/>
        </w:rPr>
        <w:t>: el año cuyo saldo a favor se solicitó en devolución.</w:t>
      </w:r>
    </w:p>
    <w:p>
      <w:pPr>
        <w:spacing w:line="360" w:lineRule="auto"/>
        <w:jc w:val="both"/>
      </w:pPr>
      <w:r>
        <w:rPr>
          <w:rFonts w:ascii="Arial" w:hAnsi="Arial"/>
          <w:b/>
          <w:i w:val="0"/>
          <w:sz w:val="24"/>
        </w:rPr>
        <w:t>[MONTO DEL SALDO A FAVOR SOLICITADO]</w:t>
      </w:r>
      <w:r>
        <w:rPr>
          <w:rFonts w:ascii="Arial" w:hAnsi="Arial"/>
          <w:b w:val="0"/>
          <w:i w:val="0"/>
          <w:sz w:val="24"/>
        </w:rPr>
        <w:t>: la cantidad pedida en la solicitud de devolución, con número y letra.</w:t>
      </w:r>
    </w:p>
    <w:p>
      <w:pPr>
        <w:spacing w:line="360" w:lineRule="auto"/>
        <w:jc w:val="both"/>
      </w:pPr>
      <w:r>
        <w:rPr>
          <w:rFonts w:ascii="Arial" w:hAnsi="Arial"/>
          <w:b/>
          <w:i w:val="0"/>
          <w:sz w:val="24"/>
        </w:rPr>
        <w:t>[FECHA DE LA RESOLUCIÓN IMPUGNADA]</w:t>
      </w:r>
      <w:r>
        <w:rPr>
          <w:rFonts w:ascii="Arial" w:hAnsi="Arial"/>
          <w:b w:val="0"/>
          <w:i w:val="0"/>
          <w:sz w:val="24"/>
        </w:rPr>
        <w:t>: la fecha que ostenta el oficio de negativa.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te notificó la negativa, incluso por buzón tributario.</w:t>
      </w:r>
    </w:p>
    <w:p>
      <w:pPr>
        <w:spacing w:line="360" w:lineRule="auto"/>
        <w:jc w:val="both"/>
      </w:pPr>
      <w:r>
        <w:rPr>
          <w:rFonts w:ascii="Arial" w:hAnsi="Arial"/>
          <w:b/>
          <w:i w:val="0"/>
          <w:sz w:val="24"/>
        </w:rPr>
        <w:t>[FECHA DE LA SOLICITUD DE DEVOLUCIÓN]</w:t>
      </w:r>
      <w:r>
        <w:rPr>
          <w:rFonts w:ascii="Arial" w:hAnsi="Arial"/>
          <w:b w:val="0"/>
          <w:i w:val="0"/>
          <w:sz w:val="24"/>
        </w:rPr>
        <w:t>: la fecha en que presentaste la solicitud ante el Servicio de Administración Tributaria.</w:t>
      </w:r>
    </w:p>
    <w:p>
      <w:pPr>
        <w:spacing w:line="360" w:lineRule="auto"/>
        <w:jc w:val="both"/>
      </w:pPr>
      <w:r>
        <w:rPr>
          <w:rFonts w:ascii="Arial" w:hAnsi="Arial"/>
          <w:b/>
          <w:i w:val="0"/>
          <w:sz w:val="24"/>
        </w:rPr>
        <w:t>[NOMBRE O DENOMINACIÓN DEL RETENEDOR]</w:t>
      </w:r>
      <w:r>
        <w:rPr>
          <w:rFonts w:ascii="Arial" w:hAnsi="Arial"/>
          <w:b w:val="0"/>
          <w:i w:val="0"/>
          <w:sz w:val="24"/>
        </w:rPr>
        <w:t>: el nombre o la razón social del patrón que te retuvo el impuesto, como aparece en los comprobantes de nómina.</w:t>
      </w:r>
    </w:p>
    <w:p>
      <w:pPr>
        <w:spacing w:line="360" w:lineRule="auto"/>
        <w:jc w:val="both"/>
      </w:pPr>
      <w:r>
        <w:rPr>
          <w:rFonts w:ascii="Arial" w:hAnsi="Arial"/>
          <w:b/>
          <w:i w:val="0"/>
          <w:sz w:val="24"/>
        </w:rPr>
        <w:t>[MONTO DEL IMPUESTO RETENIDO]</w:t>
      </w:r>
      <w:r>
        <w:rPr>
          <w:rFonts w:ascii="Arial" w:hAnsi="Arial"/>
          <w:b w:val="0"/>
          <w:i w:val="0"/>
          <w:sz w:val="24"/>
        </w:rPr>
        <w:t>: el total de impuesto sobre la renta retenido en el ejercicio según los comprobantes de nómina y la constancia anual.</w:t>
      </w:r>
    </w:p>
    <w:p>
      <w:pPr>
        <w:spacing w:line="360" w:lineRule="auto"/>
        <w:jc w:val="both"/>
      </w:pPr>
      <w:r>
        <w:rPr>
          <w:rFonts w:ascii="Arial" w:hAnsi="Arial"/>
          <w:b/>
          <w:i w:val="0"/>
          <w:sz w:val="24"/>
        </w:rPr>
        <w:t>[MONTO DEL SALDO A FAVOR CALCULADO]</w:t>
      </w:r>
      <w:r>
        <w:rPr>
          <w:rFonts w:ascii="Arial" w:hAnsi="Arial"/>
          <w:b w:val="0"/>
          <w:i w:val="0"/>
          <w:sz w:val="24"/>
        </w:rPr>
        <w:t>: la cantidad que resulte de tu cálculo del impuesto del ejercicio, de preferencia revisado por tu perito contable antes de presentar la demanda; si no lo tienes, usa la de tu declaración anual. El monto definitivo lo constatará el Tribunal con la pericial que se rinda en el juicio.</w:t>
      </w:r>
    </w:p>
    <w:p/>
    <w:p>
      <w:pPr>
        <w:spacing w:line="360" w:lineRule="auto"/>
        <w:jc w:val="both"/>
      </w:pPr>
      <w:r>
        <w:rPr>
          <w:rFonts w:ascii="Arial" w:hAnsi="Arial"/>
          <w:b/>
          <w:sz w:val="28"/>
        </w:rPr>
        <w:t>[NÚMERO ORDINAL DEL CONCEPTO] CONCEPTO DE IMPUGNACIÓN. Indebida fundamentación y motivación de la negativa de devolución del saldo a favor del impuesto sobre la renta. La autoridad condicionó la devolución a que el patrón retenedor hubiera enterado las retenciones, requisito que el artículo 22, primer párrafo, del Código Fiscal de la Federación no prevé, por lo que se actualiza la causal de nulidad del artículo 51, fracción IV, de la Ley Federal de Procedimiento Contencioso Administrativo y procede reconocer el derecho subjetivo a la devolución.</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por la que se negó a </w:t>
      </w:r>
      <w:r>
        <w:rPr>
          <w:rFonts w:ascii="Arial" w:hAnsi="Arial"/>
          <w:b/>
          <w:i w:val="0"/>
          <w:sz w:val="28"/>
        </w:rPr>
        <w:t>[NOMBRE DE LA PARTE ACTORA]</w:t>
      </w:r>
      <w:r>
        <w:rPr>
          <w:rFonts w:ascii="Arial" w:hAnsi="Arial"/>
          <w:b w:val="0"/>
          <w:i w:val="0"/>
          <w:sz w:val="28"/>
        </w:rPr>
        <w:t xml:space="preserve"> la devolución del saldo a favor del impuesto sobre la renta del ejercicio </w:t>
      </w:r>
      <w:r>
        <w:rPr>
          <w:rFonts w:ascii="Arial" w:hAnsi="Arial"/>
          <w:b/>
          <w:i w:val="0"/>
          <w:sz w:val="28"/>
        </w:rPr>
        <w:t>[EJERCICIO FISCAL]</w:t>
      </w:r>
      <w:r>
        <w:rPr>
          <w:rFonts w:ascii="Arial" w:hAnsi="Arial"/>
          <w:b w:val="0"/>
          <w:i w:val="0"/>
          <w:sz w:val="28"/>
        </w:rPr>
        <w:t xml:space="preserve">, por la cantidad de </w:t>
      </w:r>
      <w:r>
        <w:rPr>
          <w:rFonts w:ascii="Arial" w:hAnsi="Arial"/>
          <w:b/>
          <w:i w:val="0"/>
          <w:sz w:val="28"/>
        </w:rPr>
        <w:t>[MONTO DEL SALDO A FAVOR SOLICITADO]</w:t>
      </w:r>
      <w:r>
        <w:rPr>
          <w:rFonts w:ascii="Arial" w:hAnsi="Arial"/>
          <w:b w:val="0"/>
          <w:i w:val="0"/>
          <w:sz w:val="28"/>
        </w:rPr>
        <w:t>, descansa en una exigencia que la ley no contiene: que el patrón retenedor haya enterado al fisco federal las cantidades que retuvo sobre los salarios de la parte actora.</w:t>
      </w:r>
    </w:p>
    <w:p>
      <w:pPr>
        <w:spacing w:line="360" w:lineRule="auto"/>
        <w:jc w:val="both"/>
      </w:pPr>
      <w:r>
        <w:rPr>
          <w:rFonts w:ascii="Arial" w:hAnsi="Arial"/>
          <w:b w:val="0"/>
          <w:i w:val="0"/>
          <w:sz w:val="28"/>
        </w:rPr>
        <w:t>La demostración se apoya en tres premisas verificables. La primera, que la obligación de retener y enterar el impuesto sobre los ingresos por salarios pesa sobre quien realiza los pagos y no sobre quien los recibe; la segunda, que el artículo 22, primer párrafo, del Código Fiscal de la Federación ordena devolver las contribuciones retenidas a la persona a quien se le retuvieron, sin supeditar ese derecho a la conducta posterior del retenedor; y la tercera, que la retención quedó acreditada con documentos expedidos por el propio patrón.</w:t>
      </w:r>
    </w:p>
    <w:p>
      <w:pPr>
        <w:spacing w:line="360" w:lineRule="auto"/>
        <w:jc w:val="both"/>
      </w:pPr>
      <w:r>
        <w:rPr>
          <w:rFonts w:ascii="Arial" w:hAnsi="Arial"/>
          <w:b w:val="0"/>
          <w:i w:val="0"/>
          <w:sz w:val="28"/>
        </w:rPr>
        <w:t>Respetadas esas premisas, la conclusión se impone: la negativa se dictó en contravención de las disposiciones aplicadas, lo que actualiza la causal de nulidad del artículo 51, fracción IV, de la Ley Federal de Procedimiento Contencioso Administrativo. Y como la parte actora aporta los elementos para cuantificar su derecho, procede que el Tribunal, además de anular, reconozca el derecho subjetivo a la devolución y condene a la autoridad a efectuarla con actualización e intereses, en términos del artículo 52, fracción V, inciso a),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que resolvió la solicitud de devolución presentada el </w:t>
      </w:r>
      <w:r>
        <w:rPr>
          <w:rFonts w:ascii="Arial" w:hAnsi="Arial"/>
          <w:b/>
          <w:i w:val="0"/>
          <w:sz w:val="28"/>
        </w:rPr>
        <w:t>[FECHA DE LA SOLICITUD DE DEVOLUCIÓN]</w:t>
      </w:r>
      <w:r>
        <w:rPr>
          <w:rFonts w:ascii="Arial" w:hAnsi="Arial"/>
          <w:b w:val="0"/>
          <w:i w:val="0"/>
          <w:sz w:val="28"/>
        </w:rPr>
        <w:t xml:space="preserve"> respecto del saldo a favor determinado en la declaración anual del ejercicio </w:t>
      </w:r>
      <w:r>
        <w:rPr>
          <w:rFonts w:ascii="Arial" w:hAnsi="Arial"/>
          <w:b/>
          <w:i w:val="0"/>
          <w:sz w:val="28"/>
        </w:rPr>
        <w:t>[EJERCICIO FISCAL]</w:t>
      </w:r>
      <w:r>
        <w:rPr>
          <w:rFonts w:ascii="Arial" w:hAnsi="Arial"/>
          <w:b w:val="0"/>
          <w:i w:val="0"/>
          <w:sz w:val="28"/>
        </w:rPr>
        <w:t>.</w:t>
      </w:r>
    </w:p>
    <w:p>
      <w:pPr>
        <w:spacing w:line="360" w:lineRule="auto"/>
        <w:jc w:val="both"/>
      </w:pPr>
      <w:r>
        <w:rPr>
          <w:rFonts w:ascii="Arial" w:hAnsi="Arial"/>
          <w:b w:val="0"/>
          <w:i w:val="0"/>
          <w:sz w:val="28"/>
        </w:rPr>
        <w:t xml:space="preserve">En ella, la autoridad reconoció que el saldo a favor derivaba de las retenciones que </w:t>
      </w:r>
      <w:r>
        <w:rPr>
          <w:rFonts w:ascii="Arial" w:hAnsi="Arial"/>
          <w:b/>
          <w:i w:val="0"/>
          <w:sz w:val="28"/>
        </w:rPr>
        <w:t>[NOMBRE O DENOMINACIÓN DEL RETENEDOR]</w:t>
      </w:r>
      <w:r>
        <w:rPr>
          <w:rFonts w:ascii="Arial" w:hAnsi="Arial"/>
          <w:b w:val="0"/>
          <w:i w:val="0"/>
          <w:sz w:val="28"/>
        </w:rPr>
        <w:t xml:space="preserve"> efectuó sobre los ingresos por salarios de la parte actora, por un total de </w:t>
      </w:r>
      <w:r>
        <w:rPr>
          <w:rFonts w:ascii="Arial" w:hAnsi="Arial"/>
          <w:b/>
          <w:i w:val="0"/>
          <w:sz w:val="28"/>
        </w:rPr>
        <w:t>[MONTO DEL IMPUESTO RETENIDO]</w:t>
      </w:r>
      <w:r>
        <w:rPr>
          <w:rFonts w:ascii="Arial" w:hAnsi="Arial"/>
          <w:b w:val="0"/>
          <w:i w:val="0"/>
          <w:sz w:val="28"/>
        </w:rPr>
        <w:t>; sin embargo, sostuvo que, de la consulta a sus sistemas institucionales, esas retenciones no aparecían enteradas al fisco federal, que por ello no eran acreditables conforme a los artículos 96 y 152 de la Ley del Impuesto sobre la Renta y que, en consecuencia, no existía saldo a favor susceptible de devolución.</w:t>
      </w:r>
    </w:p>
    <w:p>
      <w:pPr>
        <w:spacing w:line="360" w:lineRule="auto"/>
        <w:jc w:val="both"/>
      </w:pPr>
      <w:r>
        <w:rPr>
          <w:rFonts w:ascii="Arial" w:hAnsi="Arial"/>
          <w:b w:val="0"/>
          <w:i w:val="0"/>
          <w:sz w:val="28"/>
        </w:rPr>
        <w:t>Las normas cuya inobservancia se plantea son el artículo 22, primer párrafo, del Código Fiscal de la Federación, que regula a quién se devuelven las contribuciones retenidas; los artículos 96, primer párrafo, y 152 de la Ley del Impuesto sobre la Renta, que la autoridad invocó y aplicó indebidamente; el artículo 38, fracción IV, del Código Fiscal de la Federación, que exige que todo acto administrativo esté fundado y motivado, y el artículo 16, primer párrafo, de la Constitución Política de los Estados Unidos Mexicanos, fuente de esa exigencia.</w:t>
      </w:r>
    </w:p>
    <w:p>
      <w:pPr>
        <w:spacing w:line="360" w:lineRule="auto"/>
        <w:jc w:val="both"/>
      </w:pPr>
      <w:r>
        <w:rPr>
          <w:rFonts w:ascii="Arial" w:hAnsi="Arial"/>
          <w:b w:val="0"/>
          <w:i w:val="0"/>
          <w:sz w:val="28"/>
        </w:rPr>
        <w:t>El perjuicio es directo y cuantificable. La parte actora soportó en su salario el descuento correspondiente al impuesto retenido, presentó su declaración del ejercicio, determinó un saldo a su favor y hoy se le niega su devolución por una omisión que, de existir, es ajena a ella; de este modo resiente dos veces el incumplimiento de un tercero, primero porque el impuesto se le descontó y después porque se le priva de lo que pagó en exceso.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el mecanismo de retención. El artículo 96, primer párrafo, de la Ley del Impuesto sobre la Renta dispone que </w:t>
      </w:r>
      <w:r>
        <w:rPr>
          <w:rFonts w:ascii="Arial" w:hAnsi="Arial"/>
          <w:b w:val="0"/>
          <w:i/>
          <w:sz w:val="28"/>
        </w:rPr>
        <w:t>“Quienes hagan pagos por los conceptos a que se refiere este Capítulo están obligados a efectuar retenciones y enteros mensuales que tendrán el carácter de pagos provisionales a cuenta del impuesto anual”</w:t>
      </w:r>
      <w:r>
        <w:rPr>
          <w:rFonts w:ascii="Arial" w:hAnsi="Arial"/>
          <w:b w:val="0"/>
          <w:i w:val="0"/>
          <w:sz w:val="28"/>
        </w:rPr>
        <w:t>. El sujeto de la obligación está nombrado sin ambigüedad: quien paga el salario retiene y quien paga el salario entera, mientras la persona trabajadora se limita a recibir su ingreso ya disminuido por la retención.</w:t>
      </w:r>
    </w:p>
    <w:p>
      <w:pPr>
        <w:spacing w:line="360" w:lineRule="auto"/>
        <w:jc w:val="both"/>
      </w:pPr>
      <w:r>
        <w:rPr>
          <w:rFonts w:ascii="Arial" w:hAnsi="Arial"/>
          <w:b w:val="0"/>
          <w:i w:val="0"/>
          <w:sz w:val="28"/>
        </w:rPr>
        <w:t>A su vez, el artículo 152 del mismo ordenamiento prevé que, contra el impuesto anual calculado, la persona física podrá acreditar el importe de los pagos provisionales efectuados durante el año de calendario. La retención practicada sobre el salario, que la ley califica como pago provisional a cuenta del impuesto anual, se acredita así en la declaración del ejercicio, y cuando las retenciones exceden el impuesto anual causado, la diferencia constituye un saldo a favor de la persona trabajadora.</w:t>
      </w:r>
    </w:p>
    <w:p>
      <w:pPr>
        <w:spacing w:line="360" w:lineRule="auto"/>
        <w:jc w:val="both"/>
      </w:pPr>
      <w:r>
        <w:rPr>
          <w:rFonts w:ascii="Arial" w:hAnsi="Arial"/>
          <w:b w:val="0"/>
          <w:i w:val="0"/>
          <w:sz w:val="28"/>
        </w:rPr>
        <w:t xml:space="preserve">El destino de ese saldo lo resuelve el artículo 22, primer párrafo, del Código Fiscal de la Federación, conforme al cual </w:t>
      </w:r>
      <w:r>
        <w:rPr>
          <w:rFonts w:ascii="Arial" w:hAnsi="Arial"/>
          <w:b w:val="0"/>
          <w:i/>
          <w:sz w:val="28"/>
        </w:rPr>
        <w:t>“Las autoridades fiscales devolverán las cantidades pagadas indebidamente y las que procedan conforme a las leyes fiscales. En el caso de contribuciones que se hubieran retenido, la devolución se efectuará a los contribuyentes a quienes se les hubiera retenido la contribución de que se trate”</w:t>
      </w:r>
      <w:r>
        <w:rPr>
          <w:rFonts w:ascii="Arial" w:hAnsi="Arial"/>
          <w:b w:val="0"/>
          <w:i w:val="0"/>
          <w:sz w:val="28"/>
        </w:rPr>
        <w:t>.</w:t>
      </w:r>
    </w:p>
    <w:p>
      <w:pPr>
        <w:spacing w:line="360" w:lineRule="auto"/>
        <w:jc w:val="both"/>
      </w:pPr>
      <w:r>
        <w:rPr>
          <w:rFonts w:ascii="Arial" w:hAnsi="Arial"/>
          <w:b w:val="0"/>
          <w:i w:val="0"/>
          <w:sz w:val="28"/>
        </w:rPr>
        <w:t>El supuesto normativo tiene un solo elemento relevante para el caso, que la contribución se haya retenido, y designa a una sola persona como titular del derecho, aquella a quien se le retuvo. El precepto no exige, ni expresa ni implícitamente, que el retenedor haya enterado lo retenido, ni remite a norma alguna que establezca esa condición para la procedencia de la devolución.</w:t>
      </w:r>
    </w:p>
    <w:p>
      <w:pPr>
        <w:spacing w:line="360" w:lineRule="auto"/>
        <w:jc w:val="both"/>
      </w:pPr>
      <w:r>
        <w:rPr>
          <w:rFonts w:ascii="Arial" w:hAnsi="Arial"/>
          <w:b w:val="0"/>
          <w:i w:val="0"/>
          <w:sz w:val="28"/>
        </w:rPr>
        <w:t>Esa lectura es la única compatible con los principios materiales de justicia tributaria. La doctrina explica que la igualdad ante la ley tributaria obliga a quienes aplican la norma a hacerlo de forma igualitaria para todos los que se ubican en la misma situación de hecho, sin establecer diferencias en razón de circunstancias que no estén expresamente previstas en ella, y que la reserva de ley tributaria significa que los tributos sólo pueden establecerse mediante ley.</w:t>
      </w:r>
      <w:r>
        <w:rPr>
          <w:rFonts w:ascii="Arial" w:hAnsi="Arial"/>
          <w:vertAlign w:val="superscript"/>
        </w:rPr>
        <w:t>1</w:t>
      </w:r>
    </w:p>
    <w:p>
      <w:pPr>
        <w:spacing w:line="360" w:lineRule="auto"/>
        <w:jc w:val="both"/>
      </w:pPr>
      <w:r>
        <w:rPr>
          <w:rFonts w:ascii="Arial" w:hAnsi="Arial"/>
          <w:b w:val="0"/>
          <w:i w:val="0"/>
          <w:sz w:val="28"/>
        </w:rPr>
        <w:t>La condición que la autoridad añadió al artículo 22 produce exactamente la diferencia que ese principio proscribe: dos personas trabajadoras con idéntica retención obtendrían o no la devolución según que su patrón hubiera cumplido o no con el entero, circunstancia que la norma no contempla y sobre la cual ninguna de ellas tiene control.</w:t>
      </w:r>
    </w:p>
    <w:p>
      <w:pPr>
        <w:spacing w:line="360" w:lineRule="auto"/>
        <w:jc w:val="both"/>
      </w:pPr>
      <w:r>
        <w:rPr>
          <w:rFonts w:ascii="Arial" w:hAnsi="Arial"/>
          <w:b w:val="0"/>
          <w:i w:val="0"/>
          <w:sz w:val="28"/>
        </w:rPr>
        <w:t>A lo anterior se suma la exigencia de fundamentación y motivación de los artículos 16, primer párrafo, constitucional y 38, fracción IV, del Código Fiscal de la Federación. La doctrina distingue una dimensión material de la motivación, referida al fondo del acto, que atiende a si los preceptos invocados están debidamente aplicados y a si las razones expresadas conducen verdaderamente a las consecuencias jurídicas que se declaran.</w:t>
      </w:r>
      <w:r>
        <w:rPr>
          <w:rFonts w:ascii="Arial" w:hAnsi="Arial"/>
          <w:vertAlign w:val="superscript"/>
        </w:rPr>
        <w:t>2</w:t>
      </w:r>
    </w:p>
    <w:p>
      <w:pPr>
        <w:spacing w:line="360" w:lineRule="auto"/>
        <w:jc w:val="both"/>
      </w:pPr>
      <w:r>
        <w:rPr>
          <w:rFonts w:ascii="Arial" w:hAnsi="Arial"/>
          <w:b w:val="0"/>
          <w:i w:val="0"/>
          <w:sz w:val="28"/>
        </w:rPr>
        <w:t>Un acto puede citar artículos y exponer razones y, aun así, carecer de motivación en ese sentido material, cuando las razones que expone no encuadran en la hipótesis de la norma que dice aplicar. Ese es el vicio que aquí se combate, y su consecuencia en el juicio contencioso administrativo federal es la causal de la fracción IV del artículo 51 de la ley de la materia, pues la resolución se dictó en contravención de las disposiciones aplicadas.</w:t>
      </w:r>
    </w:p>
    <w:p>
      <w:pPr>
        <w:spacing w:line="360" w:lineRule="auto"/>
        <w:jc w:val="both"/>
      </w:pPr>
      <w:r>
        <w:rPr>
          <w:rFonts w:ascii="Arial" w:hAnsi="Arial"/>
          <w:b w:val="0"/>
          <w:i w:val="0"/>
          <w:sz w:val="28"/>
        </w:rPr>
        <w:t>En el plano probatorio, la distribución de la carga tampoco favorece a la autoridad. La doctrina procesal ha desarrollado el principio de disponibilidad probatoria, conforme al cual las consecuencias de la falta de prueba deben recaer en la parte que se encontraba en mejores condiciones para proporcionarla, por su cercanía, vinculación o acceso a la fuente de prueba.</w:t>
      </w:r>
      <w:r>
        <w:rPr>
          <w:rFonts w:ascii="Arial" w:hAnsi="Arial"/>
          <w:vertAlign w:val="superscript"/>
        </w:rPr>
        <w:t>3</w:t>
      </w:r>
    </w:p>
    <w:p>
      <w:pPr>
        <w:spacing w:line="360" w:lineRule="auto"/>
        <w:jc w:val="both"/>
      </w:pPr>
      <w:r>
        <w:rPr>
          <w:rFonts w:ascii="Arial" w:hAnsi="Arial"/>
          <w:b w:val="0"/>
          <w:i w:val="0"/>
          <w:sz w:val="28"/>
        </w:rPr>
        <w:t>La información sobre los enteros de un retenedor obra en los sistemas de la propia administración tributaria, que además cuenta con facultades para verificar y exigir su cumplimiento. La persona trabajadora, en cambio, carece de acceso a esos registros y de medio alguno para compeler a su patrón a enterar; exigirle esa prueba equivale a imponerle una carga imposible sobre un hecho ajeno.</w:t>
      </w:r>
    </w:p>
    <w:p>
      <w:pPr>
        <w:spacing w:line="360" w:lineRule="auto"/>
        <w:jc w:val="both"/>
      </w:pPr>
      <w:r>
        <w:rPr>
          <w:rFonts w:ascii="Arial" w:hAnsi="Arial"/>
          <w:b w:val="0"/>
          <w:i w:val="0"/>
          <w:sz w:val="28"/>
        </w:rPr>
        <w:t xml:space="preserve">Por último, el juicio contencioso administrativo federal no se agota en la anulación. El artículo 52, fracción V, inciso a), de la Ley Federal de Procedimiento Contencioso Administrativo faculta al Tribunal para declarar la nulidad de la resolución impugnada y, además, </w:t>
      </w:r>
      <w:r>
        <w:rPr>
          <w:rFonts w:ascii="Arial" w:hAnsi="Arial"/>
          <w:b w:val="0"/>
          <w:i/>
          <w:sz w:val="28"/>
        </w:rPr>
        <w:t>“Reconocer a la persona actora la existencia de un derecho subjetivo y condenar al cumplimiento de la obligación correlativa”</w:t>
      </w:r>
      <w:r>
        <w:rPr>
          <w:rFonts w:ascii="Arial" w:hAnsi="Arial"/>
          <w:b w:val="0"/>
          <w:i w:val="0"/>
          <w:sz w:val="28"/>
        </w:rPr>
        <w:t>.</w:t>
      </w:r>
    </w:p>
    <w:p>
      <w:pPr>
        <w:spacing w:line="360" w:lineRule="auto"/>
        <w:jc w:val="both"/>
      </w:pPr>
      <w:r>
        <w:rPr>
          <w:rFonts w:ascii="Arial" w:hAnsi="Arial"/>
          <w:b w:val="0"/>
          <w:i w:val="0"/>
          <w:sz w:val="28"/>
        </w:rPr>
        <w:t>En congruencia con ello, el artículo 50 del mismo ordenamiento dispone que, en las sentencias en que se condene a la autoridad a la devolución de una cantidad, el Tribunal deberá constatar previamente el derecho que tiene la persona particular, además de la ilegalidad de la resolución impugnada, mientras que el artículo 40 impone a la persona actora que pretende el reconocimiento de un derecho subjetivo la carga de probar los hechos de los que deriva.</w:t>
      </w:r>
    </w:p>
    <w:p>
      <w:pPr>
        <w:spacing w:line="360" w:lineRule="auto"/>
        <w:jc w:val="both"/>
      </w:pPr>
      <w:r>
        <w:rPr>
          <w:rFonts w:ascii="Arial" w:hAnsi="Arial"/>
          <w:b w:val="0"/>
          <w:i w:val="0"/>
          <w:sz w:val="28"/>
        </w:rPr>
        <w:t>Ese diseño concreta el mandato del artículo 17 constitucional de emitir resoluciones de manera pronta, completa e imparcial. La doctrina vincula la tutela jurisdiccional efectiva con la obtención de una resolución de fondo fundada en derecho y con la aplicación efectiva de las decisiones judiciales.</w:t>
      </w:r>
      <w:r>
        <w:rPr>
          <w:rFonts w:ascii="Arial" w:hAnsi="Arial"/>
          <w:vertAlign w:val="superscript"/>
        </w:rPr>
        <w:t>4</w:t>
      </w:r>
    </w:p>
    <w:p>
      <w:pPr>
        <w:spacing w:line="360" w:lineRule="auto"/>
        <w:jc w:val="both"/>
      </w:pPr>
      <w:r>
        <w:rPr>
          <w:rFonts w:ascii="Arial" w:hAnsi="Arial"/>
          <w:b w:val="0"/>
          <w:i w:val="0"/>
          <w:sz w:val="28"/>
        </w:rPr>
        <w:t>Cuando la persona actora aporta los elementos para cuantificar su derecho, reenviar el asunto a la autoridad para que decida de nuevo sobre una devolución que ya negó una vez prolonga la controversia sin beneficio alguno para la legalidad y deja sin reparación efectiva el derecho que el propio juicio permite constatar.</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Durante el ejercicio </w:t>
      </w:r>
      <w:r>
        <w:rPr>
          <w:rFonts w:ascii="Arial" w:hAnsi="Arial"/>
          <w:b/>
          <w:i w:val="0"/>
          <w:sz w:val="28"/>
        </w:rPr>
        <w:t>[EJERCICIO FISCAL]</w:t>
      </w:r>
      <w:r>
        <w:rPr>
          <w:rFonts w:ascii="Arial" w:hAnsi="Arial"/>
          <w:b w:val="0"/>
          <w:i w:val="0"/>
          <w:sz w:val="28"/>
        </w:rPr>
        <w:t xml:space="preserve">, la parte actora obtuvo ingresos por salarios de </w:t>
      </w:r>
      <w:r>
        <w:rPr>
          <w:rFonts w:ascii="Arial" w:hAnsi="Arial"/>
          <w:b/>
          <w:i w:val="0"/>
          <w:sz w:val="28"/>
        </w:rPr>
        <w:t>[NOMBRE O DENOMINACIÓN DEL RETENEDOR]</w:t>
      </w:r>
      <w:r>
        <w:rPr>
          <w:rFonts w:ascii="Arial" w:hAnsi="Arial"/>
          <w:b w:val="0"/>
          <w:i w:val="0"/>
          <w:sz w:val="28"/>
        </w:rPr>
        <w:t xml:space="preserve">, quien, conforme al artículo 96 de la Ley del Impuesto sobre la Renta, le retuvo el impuesto correspondiente por un total de </w:t>
      </w:r>
      <w:r>
        <w:rPr>
          <w:rFonts w:ascii="Arial" w:hAnsi="Arial"/>
          <w:b/>
          <w:i w:val="0"/>
          <w:sz w:val="28"/>
        </w:rPr>
        <w:t>[MONTO DEL IMPUESTO RETENIDO]</w:t>
      </w:r>
      <w:r>
        <w:rPr>
          <w:rFonts w:ascii="Arial" w:hAnsi="Arial"/>
          <w:b w:val="0"/>
          <w:i w:val="0"/>
          <w:sz w:val="28"/>
        </w:rPr>
        <w:t>. Esa retención consta en los comprobantes fiscales digitales por internet de nómina expedidos por el propio retenedor y en la constancia anual de ingresos y retenciones por sueldos y salarios, documentos exhibidos con la solicitud de devolución que se ofrecen en este juicio.</w:t>
      </w:r>
    </w:p>
    <w:p>
      <w:pPr>
        <w:spacing w:line="360" w:lineRule="auto"/>
        <w:jc w:val="both"/>
      </w:pPr>
      <w:r>
        <w:rPr>
          <w:rFonts w:ascii="Arial" w:hAnsi="Arial"/>
          <w:b w:val="0"/>
          <w:i w:val="0"/>
          <w:sz w:val="28"/>
        </w:rPr>
        <w:t>La propia resolución impugnada no controvierte que la retención se haya practicado. Su razonamiento parte de reconocer que el saldo a favor deriva de las retenciones efectuadas por el patrón y se detiene en un hecho diverso, que según los sistemas institucionales esas cantidades no se enteraron. La premisa fáctica decisiva del caso, que la contribución se retuvo, está admitida por la autoridad y probada con documentos expedidos por el retenedor.</w:t>
      </w:r>
    </w:p>
    <w:p>
      <w:pPr>
        <w:spacing w:line="360" w:lineRule="auto"/>
        <w:jc w:val="both"/>
      </w:pPr>
      <w:r>
        <w:rPr>
          <w:rFonts w:ascii="Arial" w:hAnsi="Arial"/>
          <w:b w:val="0"/>
          <w:i w:val="0"/>
          <w:sz w:val="28"/>
        </w:rPr>
        <w:t>Con ello se colma el único supuesto que el artículo 22, primer párrafo, del Código Fiscal de la Federación exige para la devolución de contribuciones retenidas. En ese sentido se pronunció una Sala Regional de este Tribunal al resolver un asunto análogo, cuyo razonamiento se invoca sólo como referencia y se hace propio en este concepto: la carga de la persona trabajadora se agota en acreditar la retención con los comprobantes de nómina y la constancia anual, sin que deba demostrar además que su patrón enteró lo retenido.</w:t>
      </w:r>
    </w:p>
    <w:p>
      <w:pPr>
        <w:spacing w:line="360" w:lineRule="auto"/>
        <w:jc w:val="both"/>
      </w:pPr>
      <w:r>
        <w:rPr>
          <w:rFonts w:ascii="Arial" w:hAnsi="Arial"/>
          <w:b w:val="0"/>
          <w:i w:val="0"/>
          <w:sz w:val="28"/>
        </w:rPr>
        <w:t>Al negar la devolución por una razón que el precepto no contiene, la autoridad dictó su resolución en contravención de la disposición aplicada, hipótesis de la fracción IV del artículo 51 de la Ley Federal de Procedimiento Contencioso Administrativo, y dejó su acto sin motivación material, en violación de los artículos 16 constitucional y 38, fracción IV, del Código Fiscal de la Federación.</w:t>
      </w:r>
    </w:p>
    <w:p>
      <w:pPr>
        <w:spacing w:line="360" w:lineRule="auto"/>
        <w:jc w:val="both"/>
      </w:pPr>
      <w:r>
        <w:rPr>
          <w:rFonts w:ascii="Arial" w:hAnsi="Arial"/>
          <w:b w:val="0"/>
          <w:i w:val="0"/>
          <w:sz w:val="28"/>
        </w:rPr>
        <w:t>El razonamiento de la autoridad incurre, en primer término, en la falacia de eludir la cuestión, conocida tradicionalmente como ignoratio elenchi, que consiste en probar algo diferente de lo que se cuestiona.</w:t>
      </w:r>
      <w:r>
        <w:rPr>
          <w:rFonts w:ascii="Arial" w:hAnsi="Arial"/>
          <w:vertAlign w:val="superscript"/>
        </w:rPr>
        <w:t>5</w:t>
      </w:r>
      <w:r>
        <w:rPr>
          <w:rFonts w:ascii="Arial" w:hAnsi="Arial"/>
          <w:b w:val="0"/>
          <w:i w:val="0"/>
          <w:sz w:val="28"/>
        </w:rPr>
        <w:t xml:space="preserve"> La solicitud planteaba si a la parte actora se le retuvo el impuesto y si, hecho el cálculo anual, resultaba un saldo a su favor; la autoridad respondió demostrando otra cosa, el incumplimiento del patrón.</w:t>
      </w:r>
    </w:p>
    <w:p>
      <w:pPr>
        <w:spacing w:line="360" w:lineRule="auto"/>
        <w:jc w:val="both"/>
      </w:pPr>
      <w:r>
        <w:rPr>
          <w:rFonts w:ascii="Arial" w:hAnsi="Arial"/>
          <w:b w:val="0"/>
          <w:i w:val="0"/>
          <w:sz w:val="28"/>
        </w:rPr>
        <w:t>Ese incumplimiento podrá sustentar el ejercicio de las facultades de la autoridad frente al retenedor, pero nada dice sobre el derecho de quien sufrió la retención. La conclusión de la resolución, que no existe saldo a favor, no guarda relación con la premisa que la autoridad acreditó, que el patrón no enteró, porque ésta versa sobre la conducta de un tercero y aquélla sobre la situación fiscal de la parte actora.</w:t>
      </w:r>
    </w:p>
    <w:p>
      <w:pPr>
        <w:spacing w:line="360" w:lineRule="auto"/>
        <w:jc w:val="both"/>
      </w:pPr>
      <w:r>
        <w:rPr>
          <w:rFonts w:ascii="Arial" w:hAnsi="Arial"/>
          <w:b w:val="0"/>
          <w:i w:val="0"/>
          <w:sz w:val="28"/>
        </w:rPr>
        <w:t>En segundo término, la resolución incurre en la falacia de eludir la carga de la prueba, que se comete cuando, en lugar de aportar las razones que fundamentan la conclusión, se pretende que las aporte el oponente.</w:t>
      </w:r>
      <w:r>
        <w:rPr>
          <w:rFonts w:ascii="Arial" w:hAnsi="Arial"/>
          <w:vertAlign w:val="superscript"/>
        </w:rPr>
        <w:t>6</w:t>
      </w:r>
      <w:r>
        <w:rPr>
          <w:rFonts w:ascii="Arial" w:hAnsi="Arial"/>
          <w:b w:val="0"/>
          <w:i w:val="0"/>
          <w:sz w:val="28"/>
        </w:rPr>
        <w:t xml:space="preserve"> La autoridad no demuestra que la retención sea inexistente ni que el cálculo del ejercicio sea incorrecto; traslada a la parte actora la tarea de acreditar el entero de un tercero, dato que sólo el retenedor y la propia administración conocen.</w:t>
      </w:r>
    </w:p>
    <w:p>
      <w:pPr>
        <w:spacing w:line="360" w:lineRule="auto"/>
        <w:jc w:val="both"/>
      </w:pPr>
      <w:r>
        <w:rPr>
          <w:rFonts w:ascii="Arial" w:hAnsi="Arial"/>
          <w:b w:val="0"/>
          <w:i w:val="0"/>
          <w:sz w:val="28"/>
        </w:rPr>
        <w:t xml:space="preserve">Tampoco sostiene la negativa la lectura que la autoridad hace de los artículos 96 y 152 de la Ley del Impuesto sobre la Renta. Que el primero hable de </w:t>
      </w:r>
      <w:r>
        <w:rPr>
          <w:rFonts w:ascii="Arial" w:hAnsi="Arial"/>
          <w:b w:val="0"/>
          <w:i/>
          <w:sz w:val="28"/>
        </w:rPr>
        <w:t>“retenciones y enteros”</w:t>
      </w:r>
      <w:r>
        <w:rPr>
          <w:rFonts w:ascii="Arial" w:hAnsi="Arial"/>
          <w:b w:val="0"/>
          <w:i w:val="0"/>
          <w:sz w:val="28"/>
        </w:rPr>
        <w:t xml:space="preserve"> define las obligaciones de quien paga el salario y el carácter de pago provisional que la ley atribuye a esas cantidades; de ahí no se sigue que el derecho de la persona trabajadora nazca hasta que su patrón cumpla, y la porción del segundo que la autoridad invocó permite acreditar el importe de los pagos provisionales efectuados durante el año de calendario, sin supeditarlo al entero de un tercero.</w:t>
      </w:r>
    </w:p>
    <w:p>
      <w:pPr>
        <w:spacing w:line="360" w:lineRule="auto"/>
        <w:jc w:val="both"/>
      </w:pPr>
      <w:r>
        <w:rPr>
          <w:rFonts w:ascii="Arial" w:hAnsi="Arial"/>
          <w:b w:val="0"/>
          <w:i w:val="0"/>
          <w:sz w:val="28"/>
        </w:rPr>
        <w:t>Si la tesis de la autoridad fuera correcta, la ley habría convertido una obligación ajena en requisito de un derecho propio, y lo habría hecho sin decirlo, resultado incompatible con la reserva de ley tributaria y con la aplicación igualitaria de la norma. La interpretación que añade al artículo 22 un requisito que su texto no enuncia sustituye al legislador en la configuración del derecho a la devolución.</w:t>
      </w:r>
    </w:p>
    <w:p>
      <w:pPr>
        <w:spacing w:line="360" w:lineRule="auto"/>
        <w:jc w:val="both"/>
      </w:pPr>
      <w:r>
        <w:rPr>
          <w:rFonts w:ascii="Arial" w:hAnsi="Arial"/>
          <w:b w:val="0"/>
          <w:i w:val="0"/>
          <w:sz w:val="28"/>
        </w:rPr>
        <w:t>La consecuencia sistémica de esa postura confirma el error. Bastaría que un patrón incumpliera para que el fisco obtuviera un doble beneficio: conservaría el crédito contra el retenedor, con sus facultades de comprobación y de cobro, y además retendría el saldo a favor de la persona trabajadora, de modo que el incumplimiento del retenedor se convertiría en fuente de ingreso a costa del contribuyente cumplido.</w:t>
      </w:r>
    </w:p>
    <w:p>
      <w:pPr>
        <w:spacing w:line="360" w:lineRule="auto"/>
        <w:jc w:val="both"/>
      </w:pPr>
      <w:r>
        <w:rPr>
          <w:rFonts w:ascii="Arial" w:hAnsi="Arial"/>
          <w:b w:val="0"/>
          <w:i w:val="0"/>
          <w:sz w:val="28"/>
        </w:rPr>
        <w:t>Si al contestar la demanda la autoridad pretende sostener la negativa con razones distintas, como supuestas diferencias en los ingresos exentos o en las deducciones personales, debe tenerse presente que el artículo 22 de la Ley Federal de Procedimiento Contencioso Administrativo prohíbe cambiar en la contestación los fundamentos de derecho de la resolución impugnada, y que la negativa se sustentó en la falta de entero por parte del patrón.</w:t>
      </w:r>
    </w:p>
    <w:p>
      <w:pPr>
        <w:spacing w:line="360" w:lineRule="auto"/>
        <w:jc w:val="both"/>
      </w:pPr>
      <w:r>
        <w:rPr>
          <w:rFonts w:ascii="Arial" w:hAnsi="Arial"/>
          <w:b w:val="0"/>
          <w:i w:val="0"/>
          <w:sz w:val="28"/>
        </w:rPr>
        <w:t xml:space="preserve">Cualquier discrepancia sobre el monto encuentra respuesta en las pruebas ofrecidas. Para que el Tribunal esté en aptitud de constatar el derecho en los términos del artículo 50 de la ley de la materia, la parte actora satisface la carga del artículo 40 con los comprobantes de nómina, la constancia anual de ingresos y retenciones, la declaración anual del ejercicio </w:t>
      </w:r>
      <w:r>
        <w:rPr>
          <w:rFonts w:ascii="Arial" w:hAnsi="Arial"/>
          <w:b/>
          <w:i w:val="0"/>
          <w:sz w:val="28"/>
        </w:rPr>
        <w:t>[EJERCICIO FISCAL]</w:t>
      </w:r>
      <w:r>
        <w:rPr>
          <w:rFonts w:ascii="Arial" w:hAnsi="Arial"/>
          <w:b w:val="0"/>
          <w:i w:val="0"/>
          <w:sz w:val="28"/>
        </w:rPr>
        <w:t xml:space="preserve"> y la prueba pericial en materia contable, admisible también en la vía sumaria conforme al artículo 58-5 de esa ley.</w:t>
      </w:r>
    </w:p>
    <w:p>
      <w:pPr>
        <w:spacing w:line="360" w:lineRule="auto"/>
        <w:jc w:val="both"/>
      </w:pPr>
      <w:r>
        <w:rPr>
          <w:rFonts w:ascii="Arial" w:hAnsi="Arial"/>
          <w:b w:val="0"/>
          <w:i w:val="0"/>
          <w:sz w:val="28"/>
        </w:rPr>
        <w:t xml:space="preserve">Con esa pericial se determinarán los ingresos totales, exentos y acumulables del ejercicio, el impuesto efectivamente retenido, las deducciones personales aplicables y el saldo a favor que resulta de la mecánica del artículo 152 de la Ley del Impuesto sobre la Renta, que la parte actora estima en </w:t>
      </w:r>
      <w:r>
        <w:rPr>
          <w:rFonts w:ascii="Arial" w:hAnsi="Arial"/>
          <w:b/>
          <w:i w:val="0"/>
          <w:sz w:val="28"/>
        </w:rPr>
        <w:t>[MONTO DEL SALDO A FAVOR CALCULADO]</w:t>
      </w:r>
      <w:r>
        <w:rPr>
          <w:rFonts w:ascii="Arial" w:hAnsi="Arial"/>
          <w:b w:val="0"/>
          <w:i w:val="0"/>
          <w:sz w:val="28"/>
        </w:rPr>
        <w:t>, de manera que el Tribunal cuente con elementos técnicos suficientes para fijar el monto del derecho y no sólo para anular.</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obligación de enterar el impuesto retenido corresponde al patrón; el artículo 22, primer párrafo, del Código Fiscal de la Federación ordena devolver las contribuciones retenidas a quien las soportó, sin condicionar ese derecho al entero; la retención está acreditada con documentos del propio retenedor y la autoridad no la controvirtió, y la negativa descansa en un requisito que la ley no establece, por lo que la resolución impugnada se dictó en contravención de las disposiciones aplicadas.</w:t>
      </w:r>
    </w:p>
    <w:p>
      <w:pPr>
        <w:spacing w:line="360" w:lineRule="auto"/>
        <w:jc w:val="both"/>
      </w:pPr>
      <w:r>
        <w:rPr>
          <w:rFonts w:ascii="Arial" w:hAnsi="Arial"/>
          <w:b w:val="0"/>
          <w:i w:val="0"/>
          <w:sz w:val="28"/>
        </w:rPr>
        <w:t xml:space="preserve">Por lo expuesto, se solicita declarar fundado el presente concepto de impugnación y, con fundamento en los artículos 50, 51, fracción IV, y 52, fracción V, inciso a), de la Ley Federal de Procedimiento Contencioso Administrativo, declarar la nulidad de la resolución impugnada y reconocer el derecho subjetivo de la parte actora a la devolución del saldo a favor del impuesto sobre la renta del ejercicio </w:t>
      </w:r>
      <w:r>
        <w:rPr>
          <w:rFonts w:ascii="Arial" w:hAnsi="Arial"/>
          <w:b/>
          <w:i w:val="0"/>
          <w:sz w:val="28"/>
        </w:rPr>
        <w:t>[EJERCICIO FISCAL]</w:t>
      </w:r>
      <w:r>
        <w:rPr>
          <w:rFonts w:ascii="Arial" w:hAnsi="Arial"/>
          <w:b w:val="0"/>
          <w:i w:val="0"/>
          <w:sz w:val="28"/>
        </w:rPr>
        <w:t xml:space="preserve">, por </w:t>
      </w:r>
      <w:r>
        <w:rPr>
          <w:rFonts w:ascii="Arial" w:hAnsi="Arial"/>
          <w:b/>
          <w:i w:val="0"/>
          <w:sz w:val="28"/>
        </w:rPr>
        <w:t>[MONTO DEL SALDO A FAVOR CALCULADO]</w:t>
      </w:r>
      <w:r>
        <w:rPr>
          <w:rFonts w:ascii="Arial" w:hAnsi="Arial"/>
          <w:b w:val="0"/>
          <w:i w:val="0"/>
          <w:sz w:val="28"/>
        </w:rPr>
        <w:t xml:space="preserve"> o por la cantidad que el Tribunal constate con base en las pruebas.</w:t>
      </w:r>
    </w:p>
    <w:p>
      <w:pPr>
        <w:spacing w:line="360" w:lineRule="auto"/>
        <w:jc w:val="both"/>
      </w:pPr>
      <w:r>
        <w:rPr>
          <w:rFonts w:ascii="Arial" w:hAnsi="Arial"/>
          <w:b w:val="0"/>
          <w:i w:val="0"/>
          <w:sz w:val="28"/>
        </w:rPr>
        <w:t xml:space="preserve">En consecuencia, se solicita condenar a la </w:t>
      </w:r>
      <w:r>
        <w:rPr>
          <w:rFonts w:ascii="Arial" w:hAnsi="Arial"/>
          <w:b/>
          <w:i w:val="0"/>
          <w:sz w:val="28"/>
        </w:rPr>
        <w:t>[AUTORIDAD DEMANDADA]</w:t>
      </w:r>
      <w:r>
        <w:rPr>
          <w:rFonts w:ascii="Arial" w:hAnsi="Arial"/>
          <w:b w:val="0"/>
          <w:i w:val="0"/>
          <w:sz w:val="28"/>
        </w:rPr>
        <w:t xml:space="preserve"> a efectuar la devolución de esa cantidad con la actualización y los intereses que procedan en términos de los artículos 17-A, 22 y 22-A del Código Fiscal de la Federación, por ser la condena al cumplimiento de la obligación correlativa la única forma de reparar íntegramente el derecho lesionado.</w:t>
      </w:r>
    </w:p>
    <w:p>
      <w:pPr>
        <w:spacing w:line="360" w:lineRule="auto"/>
        <w:jc w:val="both"/>
      </w:pPr>
      <w:r>
        <w:rPr>
          <w:rFonts w:ascii="Arial" w:hAnsi="Arial"/>
          <w:b w:val="0"/>
          <w:i w:val="0"/>
          <w:sz w:val="28"/>
        </w:rPr>
        <w:t>Sólo en el supuesto de que el Tribunal estimara que no cuenta con elementos suficientes para cuantificar el derecho, se solicita que, conforme al artículo 52, fracción IV, de la misma ley, indique los términos en que la autoridad deberá dictar su nueva resolución, en la que reconozca la retención acreditada, se abstenga de reiterar el requisito del entero por el retenedor y resuelva la devolución con la actualización y los intereses correspondientes.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969.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115.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VALADÉS, Diego et al. (coord.), </w:t>
      </w:r>
      <w:r>
        <w:rPr>
          <w:rFonts w:ascii="Arial" w:hAnsi="Arial"/>
          <w:i/>
          <w:sz w:val="20"/>
        </w:rPr>
        <w:t>El constitucionalismo para la democracia del siglo XXI. Derecho constitucional iberoamericano comparado. Tomo II. Derechos fundamentales. De la igualdad</w:t>
      </w:r>
      <w:r>
        <w:rPr>
          <w:rFonts w:ascii="Arial" w:hAnsi="Arial"/>
          <w:i w:val="0"/>
          <w:sz w:val="20"/>
        </w:rPr>
        <w:t>, Universidad Nacional Autónoma de México, Instituto de Investigaciones Jurídicas; Instituto de Estudios Constitucionales del Estado de Querétaro, México, 2025, p. 73.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Ibid.</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VALADÉS, Diego et al. (coord.), </w:t>
      </w:r>
      <w:r>
        <w:rPr>
          <w:rFonts w:ascii="Arial" w:hAnsi="Arial"/>
          <w:i/>
          <w:sz w:val="20"/>
        </w:rPr>
        <w:t>El constitucionalismo para la democracia del siglo XXI. Derecho constitucional iberoamericano comparado. Tomo II. Derechos fundamentales. De la igualdad</w:t>
      </w:r>
      <w:r>
        <w:rPr>
          <w:rFonts w:ascii="Arial" w:hAnsi="Arial"/>
          <w:i w:val="0"/>
          <w:sz w:val="20"/>
        </w:rPr>
        <w:t>, Universidad Nacional Autónoma de México, Instituto de Investigaciones Jurídicas; Instituto de Estudios Constitucionales del Estado de Querétaro, México, 2025.</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