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PRESCRIPCIÓN DEL CRÉDITO FISCAL Y LÍMITE DE DIEZ AÑOS</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úsalo como concepto de impugnación de tu demanda de nulidad contra los actos del procedimiento administrativo de ejecución. Antes de llenar nada, reconstruye la línea de tiempo con documentos: la notificación de la resolución determinante, la fecha en que quedó firme, cualquier medio de defensa que se haya interpuesto contra ella y cualquier garantía del interés fiscal que se haya ofrecido. Coteja el texto del artículo 146 del Código Fiscal de la Federación vigente en la fecha de exigibilidad: el machote está construido sobre el texto de 2011, en el que la desocupación del domicilio fiscal interrumpía y no suspendía el plazo.</w:t>
      </w:r>
    </w:p>
    <w:p>
      <w:pPr>
        <w:spacing w:line="360" w:lineRule="auto"/>
        <w:jc w:val="both"/>
      </w:pPr>
      <w:r>
        <w:rPr>
          <w:rFonts w:ascii="Arial" w:hAnsi="Arial"/>
          <w:b w:val="0"/>
          <w:i w:val="0"/>
          <w:sz w:val="24"/>
        </w:rPr>
        <w:t>Presenta la demanda dentro de los treinta días que marcan el artículo 13, fracción I, de la Ley Federal de Procedimiento Contencioso Administrativo en la vía ordinaria y el artículo 58-2, párrafo tercero, en la vía sumaria. Si desconoces los actos o su notificación, dilo en la demanda conforme a la fracción II del artículo 16 de esa ley: la autoridad debe exhibirlos al contestar y tú los combates en la ampliación.</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por el beneficio que otorga, conviene que sea el primero.</w:t>
      </w:r>
    </w:p>
    <w:p>
      <w:pPr>
        <w:spacing w:line="360" w:lineRule="auto"/>
        <w:jc w:val="both"/>
      </w:pPr>
      <w:r>
        <w:rPr>
          <w:rFonts w:ascii="Arial" w:hAnsi="Arial"/>
          <w:b/>
          <w:i w:val="0"/>
          <w:sz w:val="24"/>
        </w:rPr>
        <w:t>[IDENTIFICACIÓN DE LOS ACTOS IMPUGNADOS]</w:t>
      </w:r>
      <w:r>
        <w:rPr>
          <w:rFonts w:ascii="Arial" w:hAnsi="Arial"/>
          <w:b w:val="0"/>
          <w:i w:val="0"/>
          <w:sz w:val="24"/>
        </w:rPr>
        <w:t>: cada mandamiento de ejecución, requerimiento de pago y acta de embargo que impugnas, con su número de control y fecha, tal como aparecen en los documentos.</w:t>
      </w:r>
    </w:p>
    <w:p>
      <w:pPr>
        <w:spacing w:line="360" w:lineRule="auto"/>
        <w:jc w:val="both"/>
      </w:pPr>
      <w:r>
        <w:rPr>
          <w:rFonts w:ascii="Arial" w:hAnsi="Arial"/>
          <w:b/>
          <w:i w:val="0"/>
          <w:sz w:val="24"/>
        </w:rPr>
        <w:t>[AUTORIDAD DEMANDADA]</w:t>
      </w:r>
      <w:r>
        <w:rPr>
          <w:rFonts w:ascii="Arial" w:hAnsi="Arial"/>
          <w:b w:val="0"/>
          <w:i w:val="0"/>
          <w:sz w:val="24"/>
        </w:rPr>
        <w:t>: la unidad administrativa que emitió los actos de cobro, con su denominación completa.</w:t>
      </w:r>
    </w:p>
    <w:p>
      <w:pPr>
        <w:spacing w:line="360" w:lineRule="auto"/>
        <w:jc w:val="both"/>
      </w:pPr>
      <w:r>
        <w:rPr>
          <w:rFonts w:ascii="Arial" w:hAnsi="Arial"/>
          <w:b/>
          <w:i w:val="0"/>
          <w:sz w:val="24"/>
        </w:rPr>
        <w:t>[NOMBRE DE LA PARTE ACTORA]</w:t>
      </w:r>
      <w:r>
        <w:rPr>
          <w:rFonts w:ascii="Arial" w:hAnsi="Arial"/>
          <w:b w:val="0"/>
          <w:i w:val="0"/>
          <w:sz w:val="24"/>
        </w:rPr>
        <w:t>: el nombre o la denominación de quien promueve el juicio.</w:t>
      </w:r>
    </w:p>
    <w:p>
      <w:pPr>
        <w:spacing w:line="360" w:lineRule="auto"/>
        <w:jc w:val="both"/>
      </w:pPr>
      <w:r>
        <w:rPr>
          <w:rFonts w:ascii="Arial" w:hAnsi="Arial"/>
          <w:b/>
          <w:i w:val="0"/>
          <w:sz w:val="24"/>
        </w:rPr>
        <w:t>[NÚMERO DE CONTROL DEL CRÉDITO FISCAL]</w:t>
      </w:r>
      <w:r>
        <w:rPr>
          <w:rFonts w:ascii="Arial" w:hAnsi="Arial"/>
          <w:b w:val="0"/>
          <w:i w:val="0"/>
          <w:sz w:val="24"/>
        </w:rPr>
        <w:t>: el número del crédito que se pretende cobrar; si son varios, enlístalos y haz el cómputo de cada uno por separado.</w:t>
      </w:r>
    </w:p>
    <w:p>
      <w:pPr>
        <w:spacing w:line="360" w:lineRule="auto"/>
        <w:jc w:val="both"/>
      </w:pPr>
      <w:r>
        <w:rPr>
          <w:rFonts w:ascii="Arial" w:hAnsi="Arial"/>
          <w:b/>
          <w:i w:val="0"/>
          <w:sz w:val="24"/>
        </w:rPr>
        <w:t>[NÚMERO Y FECHA DE LA RESOLUCIÓN DETERMINANTE]</w:t>
      </w:r>
      <w:r>
        <w:rPr>
          <w:rFonts w:ascii="Arial" w:hAnsi="Arial"/>
          <w:b w:val="0"/>
          <w:i w:val="0"/>
          <w:sz w:val="24"/>
        </w:rPr>
        <w:t>: el oficio que determinó el crédito y su fecha.</w:t>
      </w:r>
    </w:p>
    <w:p>
      <w:pPr>
        <w:spacing w:line="360" w:lineRule="auto"/>
        <w:jc w:val="both"/>
      </w:pPr>
      <w:r>
        <w:rPr>
          <w:rFonts w:ascii="Arial" w:hAnsi="Arial"/>
          <w:b/>
          <w:i w:val="0"/>
          <w:sz w:val="24"/>
        </w:rPr>
        <w:t>[FECHA DE NOTIFICACIÓN DE LA RESOLUCIÓN DETERMINANTE]</w:t>
      </w:r>
      <w:r>
        <w:rPr>
          <w:rFonts w:ascii="Arial" w:hAnsi="Arial"/>
          <w:b w:val="0"/>
          <w:i w:val="0"/>
          <w:sz w:val="24"/>
        </w:rPr>
        <w:t>: la fecha en que se notificó la determinante, según su constancia de notificación.</w:t>
      </w:r>
    </w:p>
    <w:p>
      <w:pPr>
        <w:spacing w:line="360" w:lineRule="auto"/>
        <w:jc w:val="both"/>
      </w:pPr>
      <w:r>
        <w:rPr>
          <w:rFonts w:ascii="Arial" w:hAnsi="Arial"/>
          <w:b/>
          <w:i w:val="0"/>
          <w:sz w:val="24"/>
        </w:rPr>
        <w:t>[FECHA EN QUE EL CRÉDITO PUDO SER LEGALMENTE EXIGIDO]</w:t>
      </w:r>
      <w:r>
        <w:rPr>
          <w:rFonts w:ascii="Arial" w:hAnsi="Arial"/>
          <w:b w:val="0"/>
          <w:i w:val="0"/>
          <w:sz w:val="24"/>
        </w:rPr>
        <w:t>: el día siguiente a aquel en que la determinante quedó firme por no pagarse, garantizarse ni impugnarse en el plazo legal; si hubo medio de defensa, la fecha en que se notificó la resolución que confirmó el crédito.</w:t>
      </w:r>
    </w:p>
    <w:p>
      <w:pPr>
        <w:spacing w:line="360" w:lineRule="auto"/>
        <w:jc w:val="both"/>
      </w:pPr>
      <w:r>
        <w:rPr>
          <w:rFonts w:ascii="Arial" w:hAnsi="Arial"/>
          <w:b/>
          <w:i w:val="0"/>
          <w:sz w:val="24"/>
        </w:rPr>
        <w:t>[FECHA EN QUE SE CUMPLIERON LOS DIEZ AÑOS]</w:t>
      </w:r>
      <w:r>
        <w:rPr>
          <w:rFonts w:ascii="Arial" w:hAnsi="Arial"/>
          <w:b w:val="0"/>
          <w:i w:val="0"/>
          <w:sz w:val="24"/>
        </w:rPr>
        <w:t>: la fecha en que vence el límite contado desde la exigibilidad, sin restar interrupciones.</w:t>
      </w:r>
    </w:p>
    <w:p>
      <w:pPr>
        <w:spacing w:line="360" w:lineRule="auto"/>
        <w:jc w:val="both"/>
      </w:pPr>
      <w:r>
        <w:rPr>
          <w:rFonts w:ascii="Arial" w:hAnsi="Arial"/>
          <w:b/>
          <w:i w:val="0"/>
          <w:sz w:val="24"/>
        </w:rPr>
        <w:t>[FECHA DE CONOCIMIENTO DE LOS ACTOS IMPUGNADOS]</w:t>
      </w:r>
      <w:r>
        <w:rPr>
          <w:rFonts w:ascii="Arial" w:hAnsi="Arial"/>
          <w:b w:val="0"/>
          <w:i w:val="0"/>
          <w:sz w:val="24"/>
        </w:rPr>
        <w:t>: la fecha en que conociste los actos de cobro, la misma que manifiestes en la demanda conforme al artículo 16 de la Ley Federal de Procedimiento Contencioso Administrativo.</w:t>
      </w:r>
    </w:p>
    <w:p>
      <w:pPr>
        <w:spacing w:line="360" w:lineRule="auto"/>
        <w:jc w:val="both"/>
      </w:pPr>
      <w:r>
        <w:rPr>
          <w:rFonts w:ascii="Arial" w:hAnsi="Arial"/>
          <w:b/>
          <w:i w:val="0"/>
          <w:sz w:val="24"/>
        </w:rPr>
        <w:t>[FECHA DE PRESENTACIÓN DE LA DEMANDA]</w:t>
      </w:r>
      <w:r>
        <w:rPr>
          <w:rFonts w:ascii="Arial" w:hAnsi="Arial"/>
          <w:b w:val="0"/>
          <w:i w:val="0"/>
          <w:sz w:val="24"/>
        </w:rPr>
        <w:t>: la fecha en que presentas la demanda en la Oficialía de Partes o en el Sistema de Justicia en Línea.</w:t>
      </w:r>
    </w:p>
    <w:p>
      <w:pPr>
        <w:spacing w:line="360" w:lineRule="auto"/>
        <w:jc w:val="both"/>
      </w:pPr>
      <w:r>
        <w:rPr>
          <w:rFonts w:ascii="Arial" w:hAnsi="Arial"/>
          <w:b/>
          <w:i w:val="0"/>
          <w:sz w:val="24"/>
        </w:rPr>
        <w:t>[GESTIONES Y ACTAS INVOCADAS POR LA AUTORIDAD]</w:t>
      </w:r>
      <w:r>
        <w:rPr>
          <w:rFonts w:ascii="Arial" w:hAnsi="Arial"/>
          <w:b w:val="0"/>
          <w:i w:val="0"/>
          <w:sz w:val="24"/>
        </w:rPr>
        <w:t>: los requerimientos, actas circunstanciadas de no localización, reconocimientos o embargos que la autoridad invoque para sostener que el plazo no ha corrido; si aún no los conoces, ajusta el párrafo en la ampliación de la demanda.</w:t>
      </w:r>
    </w:p>
    <w:p/>
    <w:p>
      <w:pPr>
        <w:spacing w:line="360" w:lineRule="auto"/>
        <w:jc w:val="both"/>
      </w:pPr>
      <w:r>
        <w:rPr>
          <w:rFonts w:ascii="Arial" w:hAnsi="Arial"/>
          <w:b/>
          <w:sz w:val="28"/>
        </w:rPr>
        <w:t>[NÚMERO ORDINAL DEL CONCEPTO] CONCEPTO DE IMPUGNACIÓN. Prescripción del crédito fiscal cuyo cobro se pretende. Los actos del procedimiento administrativo de ejecución exigen el pago de un crédito que se extinguió al agotarse el plazo máximo de diez años del artículo 146, párrafo quinto, del Código Fiscal de la Federación, sin que la autoridad acredite causa alguna de suspensión, por lo que se actualiza la causal de nulidad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w:t>
      </w:r>
      <w:r>
        <w:rPr>
          <w:rFonts w:ascii="Arial" w:hAnsi="Arial"/>
          <w:b/>
          <w:i w:val="0"/>
          <w:sz w:val="28"/>
        </w:rPr>
        <w:t>[IDENTIFICACIÓN DE LOS ACTOS IMPUGNADOS]</w:t>
      </w:r>
      <w:r>
        <w:rPr>
          <w:rFonts w:ascii="Arial" w:hAnsi="Arial"/>
          <w:b w:val="0"/>
          <w:i w:val="0"/>
          <w:sz w:val="28"/>
        </w:rPr>
        <w:t xml:space="preserve">, emitidos por la </w:t>
      </w:r>
      <w:r>
        <w:rPr>
          <w:rFonts w:ascii="Arial" w:hAnsi="Arial"/>
          <w:b/>
          <w:i w:val="0"/>
          <w:sz w:val="28"/>
        </w:rPr>
        <w:t>[AUTORIDAD DEMANDADA]</w:t>
      </w:r>
      <w:r>
        <w:rPr>
          <w:rFonts w:ascii="Arial" w:hAnsi="Arial"/>
          <w:b w:val="0"/>
          <w:i w:val="0"/>
          <w:sz w:val="28"/>
        </w:rPr>
        <w:t xml:space="preserve"> para hacer efectivo el cobro coactivo del crédito fiscal </w:t>
      </w:r>
      <w:r>
        <w:rPr>
          <w:rFonts w:ascii="Arial" w:hAnsi="Arial"/>
          <w:b/>
          <w:i w:val="0"/>
          <w:sz w:val="28"/>
        </w:rPr>
        <w:t>[NÚMERO DE CONTROL DEL CRÉDITO FISCAL]</w:t>
      </w:r>
      <w:r>
        <w:rPr>
          <w:rFonts w:ascii="Arial" w:hAnsi="Arial"/>
          <w:b w:val="0"/>
          <w:i w:val="0"/>
          <w:sz w:val="28"/>
        </w:rPr>
        <w:t xml:space="preserve">, exigen a </w:t>
      </w:r>
      <w:r>
        <w:rPr>
          <w:rFonts w:ascii="Arial" w:hAnsi="Arial"/>
          <w:b/>
          <w:i w:val="0"/>
          <w:sz w:val="28"/>
        </w:rPr>
        <w:t>[NOMBRE DE LA PARTE ACTORA]</w:t>
      </w:r>
      <w:r>
        <w:rPr>
          <w:rFonts w:ascii="Arial" w:hAnsi="Arial"/>
          <w:b w:val="0"/>
          <w:i w:val="0"/>
          <w:sz w:val="28"/>
        </w:rPr>
        <w:t xml:space="preserve"> el pago de una obligación que ya se había extinguido por prescripción cuando la persona actora conoció esos actos y opuso la excepción en la presente demanda.</w:t>
      </w:r>
    </w:p>
    <w:p>
      <w:pPr>
        <w:spacing w:line="360" w:lineRule="auto"/>
        <w:jc w:val="both"/>
      </w:pPr>
      <w:r>
        <w:rPr>
          <w:rFonts w:ascii="Arial" w:hAnsi="Arial"/>
          <w:b w:val="0"/>
          <w:i w:val="0"/>
          <w:sz w:val="28"/>
        </w:rPr>
        <w:t xml:space="preserve">La demostración descansa en tres premisas verificables. La primera, que el crédito pudo ser legalmente exigido el </w:t>
      </w:r>
      <w:r>
        <w:rPr>
          <w:rFonts w:ascii="Arial" w:hAnsi="Arial"/>
          <w:b/>
          <w:i w:val="0"/>
          <w:sz w:val="28"/>
        </w:rPr>
        <w:t>[FECHA EN QUE EL CRÉDITO PUDO SER LEGALMENTE EXIGIDO]</w:t>
      </w:r>
      <w:r>
        <w:rPr>
          <w:rFonts w:ascii="Arial" w:hAnsi="Arial"/>
          <w:b w:val="0"/>
          <w:i w:val="0"/>
          <w:sz w:val="28"/>
        </w:rPr>
        <w:t>, con posterioridad al 1 de enero de 2005, de modo que le alcanza el límite de diez años que el Artículo Segundo Transitorio, fracción X, del decreto publicado en el Diario Oficial de la Federación el 9 de diciembre de 2013 extendió a esos créditos. La segunda, que ese límite comprende los periodos de interrupción. La tercera, que de él sólo se descuentan los periodos de suspensión que la autoridad pruebe.</w:t>
      </w:r>
    </w:p>
    <w:p>
      <w:pPr>
        <w:spacing w:line="360" w:lineRule="auto"/>
        <w:jc w:val="both"/>
      </w:pPr>
      <w:r>
        <w:rPr>
          <w:rFonts w:ascii="Arial" w:hAnsi="Arial"/>
          <w:b w:val="0"/>
          <w:i w:val="0"/>
          <w:sz w:val="28"/>
        </w:rPr>
        <w:t xml:space="preserve">Si el cómputo se hace con esas reglas, el plazo máximo se cumplió el </w:t>
      </w:r>
      <w:r>
        <w:rPr>
          <w:rFonts w:ascii="Arial" w:hAnsi="Arial"/>
          <w:b/>
          <w:i w:val="0"/>
          <w:sz w:val="28"/>
        </w:rPr>
        <w:t>[FECHA EN QUE SE CUMPLIERON LOS DIEZ AÑOS]</w:t>
      </w:r>
      <w:r>
        <w:rPr>
          <w:rFonts w:ascii="Arial" w:hAnsi="Arial"/>
          <w:b w:val="0"/>
          <w:i w:val="0"/>
          <w:sz w:val="28"/>
        </w:rPr>
        <w:t>, la autoridad no cuenta con garantía del interés fiscal ni con medio de defensa alguno que hubiera suspendido la ejecución, y los actos impugnados se dictaron en contravención del artículo 146 del Código Fiscal de la Federación, hipótesis de la fracción IV del artículo 51 de la Ley Federal de Procedimiento Contencioso Administrativo que conduce a la nulidad lisa y llana prevista en el artículo 52, fracción II, del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Los actos cuya nulidad se demanda son </w:t>
      </w:r>
      <w:r>
        <w:rPr>
          <w:rFonts w:ascii="Arial" w:hAnsi="Arial"/>
          <w:b/>
          <w:i w:val="0"/>
          <w:sz w:val="28"/>
        </w:rPr>
        <w:t>[IDENTIFICACIÓN DE LOS ACTOS IMPUGNADOS]</w:t>
      </w:r>
      <w:r>
        <w:rPr>
          <w:rFonts w:ascii="Arial" w:hAnsi="Arial"/>
          <w:b w:val="0"/>
          <w:i w:val="0"/>
          <w:sz w:val="28"/>
        </w:rPr>
        <w:t xml:space="preserve">, mediante los cuales la </w:t>
      </w:r>
      <w:r>
        <w:rPr>
          <w:rFonts w:ascii="Arial" w:hAnsi="Arial"/>
          <w:b/>
          <w:i w:val="0"/>
          <w:sz w:val="28"/>
        </w:rPr>
        <w:t>[AUTORIDAD DEMANDADA]</w:t>
      </w:r>
      <w:r>
        <w:rPr>
          <w:rFonts w:ascii="Arial" w:hAnsi="Arial"/>
          <w:b w:val="0"/>
          <w:i w:val="0"/>
          <w:sz w:val="28"/>
        </w:rPr>
        <w:t xml:space="preserve"> pretende hacer efectivo el crédito fiscal </w:t>
      </w:r>
      <w:r>
        <w:rPr>
          <w:rFonts w:ascii="Arial" w:hAnsi="Arial"/>
          <w:b/>
          <w:i w:val="0"/>
          <w:sz w:val="28"/>
        </w:rPr>
        <w:t>[NÚMERO DE CONTROL DEL CRÉDITO FISCAL]</w:t>
      </w:r>
      <w:r>
        <w:rPr>
          <w:rFonts w:ascii="Arial" w:hAnsi="Arial"/>
          <w:b w:val="0"/>
          <w:i w:val="0"/>
          <w:sz w:val="28"/>
        </w:rPr>
        <w:t xml:space="preserve">, derivado de la resolución determinante </w:t>
      </w:r>
      <w:r>
        <w:rPr>
          <w:rFonts w:ascii="Arial" w:hAnsi="Arial"/>
          <w:b/>
          <w:i w:val="0"/>
          <w:sz w:val="28"/>
        </w:rPr>
        <w:t>[NÚMERO Y FECHA DE LA RESOLUCIÓN DETERMINANTE]</w:t>
      </w:r>
      <w:r>
        <w:rPr>
          <w:rFonts w:ascii="Arial" w:hAnsi="Arial"/>
          <w:b w:val="0"/>
          <w:i w:val="0"/>
          <w:sz w:val="28"/>
        </w:rPr>
        <w:t xml:space="preserve">, notificada el </w:t>
      </w:r>
      <w:r>
        <w:rPr>
          <w:rFonts w:ascii="Arial" w:hAnsi="Arial"/>
          <w:b/>
          <w:i w:val="0"/>
          <w:sz w:val="28"/>
        </w:rPr>
        <w:t>[FECHA DE NOTIFICACIÓN DE LA RESOLUCIÓN DETERMINANTE]</w:t>
      </w:r>
      <w:r>
        <w:rPr>
          <w:rFonts w:ascii="Arial" w:hAnsi="Arial"/>
          <w:b w:val="0"/>
          <w:i w:val="0"/>
          <w:sz w:val="28"/>
        </w:rPr>
        <w:t xml:space="preserve">. La parte actora conoció esos actos el </w:t>
      </w:r>
      <w:r>
        <w:rPr>
          <w:rFonts w:ascii="Arial" w:hAnsi="Arial"/>
          <w:b/>
          <w:i w:val="0"/>
          <w:sz w:val="28"/>
        </w:rPr>
        <w:t>[FECHA DE CONOCIMIENTO DE LOS ACTOS IMPUGNADOS]</w:t>
      </w:r>
      <w:r>
        <w:rPr>
          <w:rFonts w:ascii="Arial" w:hAnsi="Arial"/>
          <w:b w:val="0"/>
          <w:i w:val="0"/>
          <w:sz w:val="28"/>
        </w:rPr>
        <w:t>, como lo manifiesta en esta demanda en términos del artículo 16 de la Ley Federal de Procedimiento Contencioso Administrativo.</w:t>
      </w:r>
    </w:p>
    <w:p>
      <w:pPr>
        <w:spacing w:line="360" w:lineRule="auto"/>
        <w:jc w:val="both"/>
      </w:pPr>
      <w:r>
        <w:rPr>
          <w:rFonts w:ascii="Arial" w:hAnsi="Arial"/>
          <w:b w:val="0"/>
          <w:i w:val="0"/>
          <w:sz w:val="28"/>
        </w:rPr>
        <w:t>Las normas cuya inobservancia se plantea son el artículo 146 del Código Fiscal de la Federación, en el texto vigente cuando el crédito se hizo exigible y en el párrafo quinto que le adicionó el decreto publicado en el Diario Oficial de la Federación el 9 de diciembre de 2013; el Artículo Segundo Transitorio, fracción X, de ese decreto; el artículo 144 del mismo código, que define cuándo se suspende el procedimiento administrativo de ejecución, y los artículos 14 y 16 de la Constitución Política de los Estados Unidos Mexicanos.</w:t>
      </w:r>
    </w:p>
    <w:p>
      <w:pPr>
        <w:spacing w:line="360" w:lineRule="auto"/>
        <w:jc w:val="both"/>
      </w:pPr>
      <w:r>
        <w:rPr>
          <w:rFonts w:ascii="Arial" w:hAnsi="Arial"/>
          <w:b w:val="0"/>
          <w:i w:val="0"/>
          <w:sz w:val="28"/>
        </w:rPr>
        <w:t>El perjuicio es directo y actual. La autoridad exige el pago a través del procedimiento administrativo de ejecución, con la consecuente posibilidad de afectar el patrimonio de la parte actora, por una obligación que la ley tiene por extinguida. De prosperar este concepto se obtiene el mayor beneficio posible en el juicio, porque la nulidad lisa y llana impide reiterar el cobro de un crédito que dejó de existir.</w:t>
      </w:r>
    </w:p>
    <w:p>
      <w:pPr>
        <w:spacing w:line="360" w:lineRule="auto"/>
        <w:jc w:val="both"/>
      </w:pPr>
      <w:r>
        <w:rPr>
          <w:rFonts w:ascii="Arial" w:hAnsi="Arial"/>
          <w:b w:val="0"/>
          <w:i w:val="0"/>
          <w:sz w:val="28"/>
        </w:rPr>
        <w:t xml:space="preserve">Conviene precisar desde ahora la procedencia del juicio. El artículo 117, fracción II, inciso a), del Código Fiscal de la Federación prevé la impugnación de los actos que </w:t>
      </w:r>
      <w:r>
        <w:rPr>
          <w:rFonts w:ascii="Arial" w:hAnsi="Arial"/>
          <w:b w:val="0"/>
          <w:i/>
          <w:sz w:val="28"/>
        </w:rPr>
        <w:t>“Exijan el pago de créditos fiscales, cuando se alegue que éstos se han extinguido”</w:t>
      </w:r>
      <w:r>
        <w:rPr>
          <w:rFonts w:ascii="Arial" w:hAnsi="Arial"/>
          <w:b w:val="0"/>
          <w:i w:val="0"/>
          <w:sz w:val="28"/>
        </w:rPr>
        <w:t>, supuesto que opera con autonomía frente a la regla del artículo 127 del propio código, porque éste sólo difiere hasta la convocatoria de remate las violaciones que se aleguen cuando el procedimiento administrativo de ejecución no se ajustó a la ley, como lo ha reconocido la Sala en casos análogos.</w:t>
      </w:r>
    </w:p>
    <w:p>
      <w:pPr>
        <w:spacing w:line="360" w:lineRule="auto"/>
        <w:jc w:val="both"/>
      </w:pPr>
      <w:r>
        <w:rPr>
          <w:rFonts w:ascii="Arial" w:hAnsi="Arial"/>
          <w:b w:val="0"/>
          <w:i w:val="0"/>
          <w:sz w:val="28"/>
        </w:rPr>
        <w:t xml:space="preserve">Como el artículo 120 del mismo ordenamiento hace optativo el recurso de revocación, el juicio contencioso administrativo procede de inmediato contra los actos de cobro de un crédito extinguido, sin esperar etapa ulterior del procedimiento de ejecución. A ello se suma que el párrafo segundo del artículo 146, en su texto reformado, autoriza oponer la prescripción </w:t>
      </w:r>
      <w:r>
        <w:rPr>
          <w:rFonts w:ascii="Arial" w:hAnsi="Arial"/>
          <w:b w:val="0"/>
          <w:i/>
          <w:sz w:val="28"/>
        </w:rPr>
        <w:t>“como excepción en los recursos administrativos o a través del juicio contencioso administrativo”</w:t>
      </w:r>
      <w:r>
        <w:rPr>
          <w:rFonts w:ascii="Arial" w:hAnsi="Arial"/>
          <w:b w:val="0"/>
          <w:i w:val="0"/>
          <w:sz w:val="28"/>
        </w:rPr>
        <w:t>.</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La prescripción del crédito fiscal extingue la obligación por el solo transcurso del tiempo en que la autoridad pudo exigir el pago, y encuentra su razón de ser en la seguridad jurídica. La doctrina define esta garantía como la estabilidad del ordenamiento jurídico, cuyas normas deben tener permanencia y asegurar el equilibrio en las relaciones entre los órganos del Estado y los ciudadanos, y le reconoce como elementos la certeza jurídica, la eficacia del derecho y la ausencia de arbitrariedad.</w:t>
      </w:r>
      <w:r>
        <w:rPr>
          <w:rFonts w:ascii="Arial" w:hAnsi="Arial"/>
          <w:vertAlign w:val="superscript"/>
        </w:rPr>
        <w:t>1</w:t>
      </w:r>
      <w:r>
        <w:rPr>
          <w:rFonts w:ascii="Arial" w:hAnsi="Arial"/>
          <w:b w:val="0"/>
          <w:i w:val="0"/>
          <w:sz w:val="28"/>
        </w:rPr>
        <w:t xml:space="preserve"> Un adeudo cobrable sin término sería incompatible con esa certeza.</w:t>
      </w:r>
    </w:p>
    <w:p>
      <w:pPr>
        <w:spacing w:line="360" w:lineRule="auto"/>
        <w:jc w:val="both"/>
      </w:pPr>
      <w:r>
        <w:rPr>
          <w:rFonts w:ascii="Arial" w:hAnsi="Arial"/>
          <w:b w:val="0"/>
          <w:i w:val="0"/>
          <w:sz w:val="28"/>
        </w:rPr>
        <w:t>Para fijar el régimen aplicable debe partirse de que el artículo 146 contiene una norma sustantiva, pues regula la extinción del crédito por el transcurso del tiempo, de modo que el cómputo se rige por el texto vigente cuando el pago pudo ser legalmente exigido, momento en que el propio precepto hace iniciar el plazo. Ese momento llega cuando la resolución determinante queda firme, sea porque no se impugnó en tiempo o porque se notificó la resolución que confirmó la determinación.</w:t>
      </w:r>
    </w:p>
    <w:p>
      <w:pPr>
        <w:spacing w:line="360" w:lineRule="auto"/>
        <w:jc w:val="both"/>
      </w:pPr>
      <w:r>
        <w:rPr>
          <w:rFonts w:ascii="Arial" w:hAnsi="Arial"/>
          <w:b w:val="0"/>
          <w:i w:val="0"/>
          <w:sz w:val="28"/>
        </w:rPr>
        <w:t xml:space="preserve">En el texto vigente en 2011, que debe cotejarse con el aplicable a la fecha de exigibilidad de cada crédito, el artículo 146 disponía que </w:t>
      </w:r>
      <w:r>
        <w:rPr>
          <w:rFonts w:ascii="Arial" w:hAnsi="Arial"/>
          <w:b w:val="0"/>
          <w:i/>
          <w:sz w:val="28"/>
        </w:rPr>
        <w:t>“El término para que se consume la prescripción se interrumpe con cada gestión de cobro que el acreedor notifique o haga saber al deudor o por el reconocimiento expreso o tácito de este respecto de la existencia del crédito”</w:t>
      </w:r>
      <w:r>
        <w:rPr>
          <w:rFonts w:ascii="Arial" w:hAnsi="Arial"/>
          <w:b w:val="0"/>
          <w:i w:val="0"/>
          <w:sz w:val="28"/>
        </w:rPr>
        <w:t xml:space="preserve">. Añadía que </w:t>
      </w:r>
      <w:r>
        <w:rPr>
          <w:rFonts w:ascii="Arial" w:hAnsi="Arial"/>
          <w:b w:val="0"/>
          <w:i/>
          <w:sz w:val="28"/>
        </w:rPr>
        <w:t>“Cuando se suspenda el procedimiento administrativo de ejecución en los términos del artículo 144 de este Código, también se suspenderá el plazo de la prescripción”</w:t>
      </w:r>
      <w:r>
        <w:rPr>
          <w:rFonts w:ascii="Arial" w:hAnsi="Arial"/>
          <w:b w:val="0"/>
          <w:i w:val="0"/>
          <w:sz w:val="28"/>
        </w:rPr>
        <w:t>.</w:t>
      </w:r>
    </w:p>
    <w:p>
      <w:pPr>
        <w:spacing w:line="360" w:lineRule="auto"/>
        <w:jc w:val="both"/>
      </w:pPr>
      <w:r>
        <w:rPr>
          <w:rFonts w:ascii="Arial" w:hAnsi="Arial"/>
          <w:b w:val="0"/>
          <w:i w:val="0"/>
          <w:sz w:val="28"/>
        </w:rPr>
        <w:t xml:space="preserve">El mismo texto precisaba que </w:t>
      </w:r>
      <w:r>
        <w:rPr>
          <w:rFonts w:ascii="Arial" w:hAnsi="Arial"/>
          <w:b w:val="0"/>
          <w:i/>
          <w:sz w:val="28"/>
        </w:rPr>
        <w:t>“se interrumpirá el plazo a que se refiere este artículo cuando el contribuyente hubiera desocupado su domicilio fiscal sin haber presentado el aviso de cambio correspondiente o cuando hubiere señalado de manera incorrecta su domicilio fiscal”</w:t>
      </w:r>
      <w:r>
        <w:rPr>
          <w:rFonts w:ascii="Arial" w:hAnsi="Arial"/>
          <w:b w:val="0"/>
          <w:i w:val="0"/>
          <w:sz w:val="28"/>
        </w:rPr>
        <w:t>. La ley distinguía con nitidez dos instituciones: la interrupción, provocada por las gestiones de cobro, los reconocimientos del deudor y la desocupación del domicilio, y la suspensión, reservada al caso en que se suspendiera el procedimiento administrativo de ejecución conforme al artículo 144.</w:t>
      </w:r>
    </w:p>
    <w:p>
      <w:pPr>
        <w:spacing w:line="360" w:lineRule="auto"/>
        <w:jc w:val="both"/>
      </w:pPr>
      <w:r>
        <w:rPr>
          <w:rFonts w:ascii="Arial" w:hAnsi="Arial"/>
          <w:b w:val="0"/>
          <w:i w:val="0"/>
          <w:sz w:val="28"/>
        </w:rPr>
        <w:t xml:space="preserve">La reforma publicada en el Diario Oficial de la Federación el 9 de diciembre de 2013, en vigor desde el 1 de enero de 2014, adicionó al artículo 146 un párrafo quinto conforme al cual </w:t>
      </w:r>
      <w:r>
        <w:rPr>
          <w:rFonts w:ascii="Arial" w:hAnsi="Arial"/>
          <w:b w:val="0"/>
          <w:i/>
          <w:sz w:val="28"/>
        </w:rPr>
        <w:t>“El plazo para que se configure la prescripción, en ningún caso, incluyendo cuando este se haya interrumpido, podrá exceder de diez años contados a partir de que el crédito fiscal pudo ser legalmente exigido. En dicho plazo no se computarán los periodos en los que se encontraba suspendido por las causas previstas en este artículo.”</w:t>
      </w:r>
    </w:p>
    <w:p>
      <w:pPr>
        <w:spacing w:line="360" w:lineRule="auto"/>
        <w:jc w:val="both"/>
      </w:pPr>
      <w:r>
        <w:rPr>
          <w:rFonts w:ascii="Arial" w:hAnsi="Arial"/>
          <w:b w:val="0"/>
          <w:i w:val="0"/>
          <w:sz w:val="28"/>
        </w:rPr>
        <w:t xml:space="preserve">El Artículo Segundo Transitorio, fracción X, de ese decreto ordenó que el plazo del párrafo quinto </w:t>
      </w:r>
      <w:r>
        <w:rPr>
          <w:rFonts w:ascii="Arial" w:hAnsi="Arial"/>
          <w:b w:val="0"/>
          <w:i/>
          <w:sz w:val="28"/>
        </w:rPr>
        <w:t>“será aplicable para los créditos fiscales que hayan sido exigidos a partir del 1 de enero de 2005”</w:t>
      </w:r>
      <w:r>
        <w:rPr>
          <w:rFonts w:ascii="Arial" w:hAnsi="Arial"/>
          <w:b w:val="0"/>
          <w:i w:val="0"/>
          <w:sz w:val="28"/>
        </w:rPr>
        <w:t>. El legislador proyectó así hacia el pasado un límite que favorece a la persona deudora, cosa que la Constitución permite. El artículo 14 constitucional prohíbe dar efecto retroactivo a la ley en perjuicio de persona alguna, y la doctrina de la argumentación ilustra con ese precepto el argumento a contrario, del que se colige que la aplicación retroactiva es permisible cuando no origina perjuicio.</w:t>
      </w:r>
      <w:r>
        <w:rPr>
          <w:rFonts w:ascii="Arial" w:hAnsi="Arial"/>
          <w:vertAlign w:val="superscript"/>
        </w:rPr>
        <w:t>2</w:t>
      </w:r>
    </w:p>
    <w:p>
      <w:pPr>
        <w:spacing w:line="360" w:lineRule="auto"/>
        <w:jc w:val="both"/>
      </w:pPr>
      <w:r>
        <w:rPr>
          <w:rFonts w:ascii="Arial" w:hAnsi="Arial"/>
          <w:b w:val="0"/>
          <w:i w:val="0"/>
          <w:sz w:val="28"/>
        </w:rPr>
        <w:t>De la combinación de ambos textos resultan reglas precisas de cómputo. El límite de diez años corre desde que el crédito pudo ser legalmente exigido y, por mandato expreso del párrafo quinto, comprende los periodos en que el plazo estuvo interrumpido. Del límite sólo se descuentan los periodos de suspensión, y las causas de suspensión son las que preveía la ley vigente al hacerse exigible el crédito, que en el texto de 2011 se reducían a la suspensión del procedimiento administrativo de ejecución en términos del artículo 144.</w:t>
      </w:r>
    </w:p>
    <w:p>
      <w:pPr>
        <w:spacing w:line="360" w:lineRule="auto"/>
        <w:jc w:val="both"/>
      </w:pPr>
      <w:r>
        <w:rPr>
          <w:rFonts w:ascii="Arial" w:hAnsi="Arial"/>
          <w:b w:val="0"/>
          <w:i w:val="0"/>
          <w:sz w:val="28"/>
        </w:rPr>
        <w:t xml:space="preserve">El artículo 144 del Código Fiscal de la Federación establece en su primera oración que </w:t>
      </w:r>
      <w:r>
        <w:rPr>
          <w:rFonts w:ascii="Arial" w:hAnsi="Arial"/>
          <w:b w:val="0"/>
          <w:i/>
          <w:sz w:val="28"/>
        </w:rPr>
        <w:t>“No se ejecutarán los actos administrativos cuando se garantice el interés fiscal, satisfaciendo los requisitos legales”</w:t>
      </w:r>
      <w:r>
        <w:rPr>
          <w:rFonts w:ascii="Arial" w:hAnsi="Arial"/>
          <w:b w:val="0"/>
          <w:i w:val="0"/>
          <w:sz w:val="28"/>
        </w:rPr>
        <w:t>, y regula la suspensión ligada a la impugnación del crédito, señaladamente la interposición en tiempo y forma del recurso de revocación. Las hipótesis de suspensión que aquí interesan dependen de un acto jurídico formal, documentado y verificable, y ninguna se produce por el solo hecho de que la autoridad no localice a la persona deudora.</w:t>
      </w:r>
    </w:p>
    <w:p>
      <w:pPr>
        <w:spacing w:line="360" w:lineRule="auto"/>
        <w:jc w:val="both"/>
      </w:pPr>
      <w:r>
        <w:rPr>
          <w:rFonts w:ascii="Arial" w:hAnsi="Arial"/>
          <w:b w:val="0"/>
          <w:i w:val="0"/>
          <w:sz w:val="28"/>
        </w:rPr>
        <w:t>Queda por fijar quién debe probar la suspensión. El artículo 40, primer párrafo, de la Ley Federal de Procedimiento Contencioso Administrativo impone a la persona actora la prueba de los hechos de los que deriva su derecho y a la persona demandada la de sus excepciones. La doctrina procesal enuncia el mismo principio al postular que quien afirma un hecho en el proceso debe probarlo, sin que baste la declaración del funcionario para tener por cierta su versión.</w:t>
      </w:r>
      <w:r>
        <w:rPr>
          <w:rFonts w:ascii="Arial" w:hAnsi="Arial"/>
          <w:vertAlign w:val="superscript"/>
        </w:rPr>
        <w:t>3</w:t>
      </w:r>
      <w:r>
        <w:rPr>
          <w:rFonts w:ascii="Arial" w:hAnsi="Arial"/>
          <w:b w:val="0"/>
          <w:i w:val="0"/>
          <w:sz w:val="28"/>
        </w:rPr>
        <w:t xml:space="preserve"> Acreditados la exigibilidad y el transcurso del tiempo, la suspensión es un hecho impeditivo cuya prueba toca a la autoridad.</w:t>
      </w:r>
    </w:p>
    <w:p>
      <w:pPr>
        <w:spacing w:line="360" w:lineRule="auto"/>
        <w:jc w:val="both"/>
      </w:pPr>
      <w:r>
        <w:rPr>
          <w:rFonts w:ascii="Arial" w:hAnsi="Arial"/>
          <w:b/>
          <w:sz w:val="28"/>
        </w:rPr>
        <w:t>IV. Aplicación al caso concreto y refutación de la postura de la autoridad.</w:t>
      </w:r>
    </w:p>
    <w:p>
      <w:pPr>
        <w:spacing w:line="360" w:lineRule="auto"/>
        <w:jc w:val="both"/>
      </w:pPr>
      <w:r>
        <w:rPr>
          <w:rFonts w:ascii="Arial" w:hAnsi="Arial"/>
          <w:b w:val="0"/>
          <w:i w:val="0"/>
          <w:sz w:val="28"/>
        </w:rPr>
        <w:t xml:space="preserve">Los hechos encuadran con exactitud en esa premisa. La resolución determinante </w:t>
      </w:r>
      <w:r>
        <w:rPr>
          <w:rFonts w:ascii="Arial" w:hAnsi="Arial"/>
          <w:b/>
          <w:i w:val="0"/>
          <w:sz w:val="28"/>
        </w:rPr>
        <w:t>[NÚMERO Y FECHA DE LA RESOLUCIÓN DETERMINANTE]</w:t>
      </w:r>
      <w:r>
        <w:rPr>
          <w:rFonts w:ascii="Arial" w:hAnsi="Arial"/>
          <w:b w:val="0"/>
          <w:i w:val="0"/>
          <w:sz w:val="28"/>
        </w:rPr>
        <w:t xml:space="preserve"> se notificó el </w:t>
      </w:r>
      <w:r>
        <w:rPr>
          <w:rFonts w:ascii="Arial" w:hAnsi="Arial"/>
          <w:b/>
          <w:i w:val="0"/>
          <w:sz w:val="28"/>
        </w:rPr>
        <w:t>[FECHA DE NOTIFICACIÓN DE LA RESOLUCIÓN DETERMINANTE]</w:t>
      </w:r>
      <w:r>
        <w:rPr>
          <w:rFonts w:ascii="Arial" w:hAnsi="Arial"/>
          <w:b w:val="0"/>
          <w:i w:val="0"/>
          <w:sz w:val="28"/>
        </w:rPr>
        <w:t xml:space="preserve"> y no fue pagada ni garantizada dentro del plazo que concedía el artículo 65 del Código Fiscal de la Federación vigente en esa época, ni se impugnó en tiempo, por lo que quedó firme y el crédito pudo ser legalmente exigido el </w:t>
      </w:r>
      <w:r>
        <w:rPr>
          <w:rFonts w:ascii="Arial" w:hAnsi="Arial"/>
          <w:b/>
          <w:i w:val="0"/>
          <w:sz w:val="28"/>
        </w:rPr>
        <w:t>[FECHA EN QUE EL CRÉDITO PUDO SER LEGALMENTE EXIGIDO]</w:t>
      </w:r>
      <w:r>
        <w:rPr>
          <w:rFonts w:ascii="Arial" w:hAnsi="Arial"/>
          <w:b w:val="0"/>
          <w:i w:val="0"/>
          <w:sz w:val="28"/>
        </w:rPr>
        <w:t>, fecha posterior al 1 de enero de 2005 que activa la regla transitoria.</w:t>
      </w:r>
    </w:p>
    <w:p>
      <w:pPr>
        <w:spacing w:line="360" w:lineRule="auto"/>
        <w:jc w:val="both"/>
      </w:pPr>
      <w:r>
        <w:rPr>
          <w:rFonts w:ascii="Arial" w:hAnsi="Arial"/>
          <w:b w:val="0"/>
          <w:i w:val="0"/>
          <w:sz w:val="28"/>
        </w:rPr>
        <w:t xml:space="preserve">Contado desde esa fecha, el límite de diez años se cumplió el </w:t>
      </w:r>
      <w:r>
        <w:rPr>
          <w:rFonts w:ascii="Arial" w:hAnsi="Arial"/>
          <w:b/>
          <w:i w:val="0"/>
          <w:sz w:val="28"/>
        </w:rPr>
        <w:t>[FECHA EN QUE SE CUMPLIERON LOS DIEZ AÑOS]</w:t>
      </w:r>
      <w:r>
        <w:rPr>
          <w:rFonts w:ascii="Arial" w:hAnsi="Arial"/>
          <w:b w:val="0"/>
          <w:i w:val="0"/>
          <w:sz w:val="28"/>
        </w:rPr>
        <w:t xml:space="preserve">. Cuando la parte actora conoció los actos impugnados, el </w:t>
      </w:r>
      <w:r>
        <w:rPr>
          <w:rFonts w:ascii="Arial" w:hAnsi="Arial"/>
          <w:b/>
          <w:i w:val="0"/>
          <w:sz w:val="28"/>
        </w:rPr>
        <w:t>[FECHA DE CONOCIMIENTO DE LOS ACTOS IMPUGNADOS]</w:t>
      </w:r>
      <w:r>
        <w:rPr>
          <w:rFonts w:ascii="Arial" w:hAnsi="Arial"/>
          <w:b w:val="0"/>
          <w:i w:val="0"/>
          <w:sz w:val="28"/>
        </w:rPr>
        <w:t xml:space="preserve">, y cuando presentó esta demanda, el </w:t>
      </w:r>
      <w:r>
        <w:rPr>
          <w:rFonts w:ascii="Arial" w:hAnsi="Arial"/>
          <w:b/>
          <w:i w:val="0"/>
          <w:sz w:val="28"/>
        </w:rPr>
        <w:t>[FECHA DE PRESENTACIÓN DE LA DEMANDA]</w:t>
      </w:r>
      <w:r>
        <w:rPr>
          <w:rFonts w:ascii="Arial" w:hAnsi="Arial"/>
          <w:b w:val="0"/>
          <w:i w:val="0"/>
          <w:sz w:val="28"/>
        </w:rPr>
        <w:t>, el crédito ya se había extinguido. Los actos combatidos exigen, por tanto, el pago de una obligación inexistente, y en esa medida se dictaron en contravención del artículo 146 del Código Fiscal de la Federación.</w:t>
      </w:r>
    </w:p>
    <w:p>
      <w:pPr>
        <w:spacing w:line="360" w:lineRule="auto"/>
        <w:jc w:val="both"/>
      </w:pPr>
      <w:r>
        <w:rPr>
          <w:rFonts w:ascii="Arial" w:hAnsi="Arial"/>
          <w:b w:val="0"/>
          <w:i w:val="0"/>
          <w:sz w:val="28"/>
        </w:rPr>
        <w:t>La parte actora nunca garantizó el interés fiscal ante la autoridad exactora ni interpuso recurso de revocación u otro medio de defensa que hubiera suspendido el procedimiento administrativo de ejecución en términos del artículo 144. No existe, en consecuencia, periodo alguno que deba descontarse del límite de diez años, y si la autoridad sostiene lo contrario le corresponde demostrarlo con las constancias respectivas.</w:t>
      </w:r>
    </w:p>
    <w:p>
      <w:pPr>
        <w:spacing w:line="360" w:lineRule="auto"/>
        <w:jc w:val="both"/>
      </w:pPr>
      <w:r>
        <w:rPr>
          <w:rFonts w:ascii="Arial" w:hAnsi="Arial"/>
          <w:b w:val="0"/>
          <w:i w:val="0"/>
          <w:sz w:val="28"/>
        </w:rPr>
        <w:t xml:space="preserve">Es previsible que la autoridad afirme que el plazo no ha corrido porque realizó </w:t>
      </w:r>
      <w:r>
        <w:rPr>
          <w:rFonts w:ascii="Arial" w:hAnsi="Arial"/>
          <w:b/>
          <w:i w:val="0"/>
          <w:sz w:val="28"/>
        </w:rPr>
        <w:t>[GESTIONES Y ACTAS INVOCADAS POR LA AUTORIDAD]</w:t>
      </w:r>
      <w:r>
        <w:rPr>
          <w:rFonts w:ascii="Arial" w:hAnsi="Arial"/>
          <w:b w:val="0"/>
          <w:i w:val="0"/>
          <w:sz w:val="28"/>
        </w:rPr>
        <w:t>, porque la parte actora habría reconocido el adeudo o porque no fue localizada en su domicilio fiscal. Ese argumento incurre, en primer término, en la falacia del equívoco, que consiste en confundir los diversos significados de una palabra o frase y usarla en el mismo contexto con distintos sentidos, a veces aprovechando la confusión en favor propio.</w:t>
      </w:r>
      <w:r>
        <w:rPr>
          <w:rFonts w:ascii="Arial" w:hAnsi="Arial"/>
          <w:vertAlign w:val="superscript"/>
        </w:rPr>
        <w:t>4</w:t>
      </w:r>
    </w:p>
    <w:p>
      <w:pPr>
        <w:spacing w:line="360" w:lineRule="auto"/>
        <w:jc w:val="both"/>
      </w:pPr>
      <w:r>
        <w:rPr>
          <w:rFonts w:ascii="Arial" w:hAnsi="Arial"/>
          <w:b w:val="0"/>
          <w:i w:val="0"/>
          <w:sz w:val="28"/>
        </w:rPr>
        <w:t xml:space="preserve">La autoridad emplea </w:t>
      </w:r>
      <w:r>
        <w:rPr>
          <w:rFonts w:ascii="Arial" w:hAnsi="Arial"/>
          <w:b w:val="0"/>
          <w:i/>
          <w:sz w:val="28"/>
        </w:rPr>
        <w:t>“interrupción”</w:t>
      </w:r>
      <w:r>
        <w:rPr>
          <w:rFonts w:ascii="Arial" w:hAnsi="Arial"/>
          <w:b w:val="0"/>
          <w:i w:val="0"/>
          <w:sz w:val="28"/>
        </w:rPr>
        <w:t xml:space="preserve"> y </w:t>
      </w:r>
      <w:r>
        <w:rPr>
          <w:rFonts w:ascii="Arial" w:hAnsi="Arial"/>
          <w:b w:val="0"/>
          <w:i/>
          <w:sz w:val="28"/>
        </w:rPr>
        <w:t>“suspensión”</w:t>
      </w:r>
      <w:r>
        <w:rPr>
          <w:rFonts w:ascii="Arial" w:hAnsi="Arial"/>
          <w:b w:val="0"/>
          <w:i w:val="0"/>
          <w:sz w:val="28"/>
        </w:rPr>
        <w:t xml:space="preserve"> como si fueran intercambiables, cuando el artículo 146 les asigna efectos opuestos frente al límite de diez años. Las gestiones de cobro, los reconocimientos del deudor y, en el texto vigente en 2011, la desocupación del domicilio fiscal sin aviso interrumpen el plazo ordinario, y el párrafo quinto ordena que el límite máximo opere </w:t>
      </w:r>
      <w:r>
        <w:rPr>
          <w:rFonts w:ascii="Arial" w:hAnsi="Arial"/>
          <w:b w:val="0"/>
          <w:i/>
          <w:sz w:val="28"/>
        </w:rPr>
        <w:t>“incluyendo cuando este se haya interrumpido”</w:t>
      </w:r>
      <w:r>
        <w:rPr>
          <w:rFonts w:ascii="Arial" w:hAnsi="Arial"/>
          <w:b w:val="0"/>
          <w:i w:val="0"/>
          <w:sz w:val="28"/>
        </w:rPr>
        <w:t>. Llamar suspensión a lo que la ley llama interrupción es el único camino para prolongar un límite que la ley declaró insuperable.</w:t>
      </w:r>
    </w:p>
    <w:p>
      <w:pPr>
        <w:spacing w:line="360" w:lineRule="auto"/>
        <w:jc w:val="both"/>
      </w:pPr>
      <w:r>
        <w:rPr>
          <w:rFonts w:ascii="Arial" w:hAnsi="Arial"/>
          <w:b w:val="0"/>
          <w:i w:val="0"/>
          <w:sz w:val="28"/>
        </w:rPr>
        <w:t>Tampoco puede la autoridad apoyarse en el texto posterior a la reforma, que convirtió la desocupación del domicilio fiscal en causa de suspensión, para aplicarlo a un crédito exigible antes de ella, porque las causas de interrupción y de suspensión forman parte del régimen sustantivo vigente cuando el crédito se hizo exigible, según quedó expuesto en la premisa mayor. La fracción X del Artículo Segundo Transitorio sólo proyecta hacia el pasado el límite que beneficia a la persona deudora; extender las nuevas causas de suspensión daría a la ley efecto retroactivo en perjuicio, lo que prohíbe el artículo 14 constitucional.</w:t>
      </w:r>
    </w:p>
    <w:p>
      <w:pPr>
        <w:spacing w:line="360" w:lineRule="auto"/>
        <w:jc w:val="both"/>
      </w:pPr>
      <w:r>
        <w:rPr>
          <w:rFonts w:ascii="Arial" w:hAnsi="Arial"/>
          <w:b w:val="0"/>
          <w:i w:val="0"/>
          <w:sz w:val="28"/>
        </w:rPr>
        <w:t>En segundo término, la defensa oficial incurre en la falacia de eludir la carga de la prueba, que consiste en no aportar razones que fundamenten la conclusión o en pretender que las aporte el oponente, y cuyo nombre procede del brocardo jurídico conforme al cual prueba quien afirma y no quien niega.</w:t>
      </w:r>
      <w:r>
        <w:rPr>
          <w:rFonts w:ascii="Arial" w:hAnsi="Arial"/>
          <w:vertAlign w:val="superscript"/>
        </w:rPr>
        <w:t>5</w:t>
      </w:r>
      <w:r>
        <w:rPr>
          <w:rFonts w:ascii="Arial" w:hAnsi="Arial"/>
          <w:b w:val="0"/>
          <w:i w:val="0"/>
          <w:sz w:val="28"/>
        </w:rPr>
        <w:t xml:space="preserve"> La autoridad afirma que el plazo estuvo suspendido, pero no exhibe la garantía del interés fiscal, el acuerdo que la haya calificado ni el medio de defensa que habría detenido la ejecución.</w:t>
      </w:r>
    </w:p>
    <w:p>
      <w:pPr>
        <w:spacing w:line="360" w:lineRule="auto"/>
        <w:jc w:val="both"/>
      </w:pPr>
      <w:r>
        <w:rPr>
          <w:rFonts w:ascii="Arial" w:hAnsi="Arial"/>
          <w:b w:val="0"/>
          <w:i w:val="0"/>
          <w:sz w:val="28"/>
        </w:rPr>
        <w:t xml:space="preserve">Sin esas constancias, la supuesta suspensión es una afirmación gratuita que el artículo 40 de la Ley Federal de Procedimiento Contencioso Administrativo no permite tener por demostrada. Las propias </w:t>
      </w:r>
      <w:r>
        <w:rPr>
          <w:rFonts w:ascii="Arial" w:hAnsi="Arial"/>
          <w:b/>
          <w:i w:val="0"/>
          <w:sz w:val="28"/>
        </w:rPr>
        <w:t>[GESTIONES Y ACTAS INVOCADAS POR LA AUTORIDAD]</w:t>
      </w:r>
      <w:r>
        <w:rPr>
          <w:rFonts w:ascii="Arial" w:hAnsi="Arial"/>
          <w:b w:val="0"/>
          <w:i w:val="0"/>
          <w:sz w:val="28"/>
        </w:rPr>
        <w:t xml:space="preserve"> prueban lo contrario de lo que pretende: si la autoridad siguió requiriendo el pago y levantando actas de búsqueda, el procedimiento de ejecución no estaba suspendido, y la reiteración de las gestiones de cobro revela que el crédito no se encontraba garantizado.</w:t>
      </w:r>
    </w:p>
    <w:p>
      <w:pPr>
        <w:spacing w:line="360" w:lineRule="auto"/>
        <w:jc w:val="both"/>
      </w:pPr>
      <w:r>
        <w:rPr>
          <w:rFonts w:ascii="Arial" w:hAnsi="Arial"/>
          <w:b w:val="0"/>
          <w:i w:val="0"/>
          <w:sz w:val="28"/>
        </w:rPr>
        <w:t>Por último, si la autoridad invoca diligencias de embargo como equivalentes a la garantía, su razonamiento es un non sequitur, categoría que agrupa los argumentos cuya conclusión no se sigue de las premisas.</w:t>
      </w:r>
      <w:r>
        <w:rPr>
          <w:rFonts w:ascii="Arial" w:hAnsi="Arial"/>
          <w:vertAlign w:val="superscript"/>
        </w:rPr>
        <w:t>6</w:t>
      </w:r>
      <w:r>
        <w:rPr>
          <w:rFonts w:ascii="Arial" w:hAnsi="Arial"/>
          <w:b w:val="0"/>
          <w:i w:val="0"/>
          <w:sz w:val="28"/>
        </w:rPr>
        <w:t xml:space="preserve"> De que se haya levantado un acta de embargo no se sigue que los bienes trabados basten para garantizar el interés fiscal ni que éste se tuviera por garantizado con los requisitos legales que exige el artículo 144, extremo que la sola diligencia no acredita, porque conforme al artículo 141 del propio código el interés fiscal se garantiza ante la autoridad exactora.</w:t>
      </w:r>
    </w:p>
    <w:p>
      <w:pPr>
        <w:spacing w:line="360" w:lineRule="auto"/>
        <w:jc w:val="both"/>
      </w:pPr>
      <w:r>
        <w:rPr>
          <w:rFonts w:ascii="Arial" w:hAnsi="Arial"/>
          <w:b w:val="0"/>
          <w:i w:val="0"/>
          <w:sz w:val="28"/>
        </w:rPr>
        <w:t xml:space="preserve">Aceptar la postura de la autoridad produciría justamente el resultado que el párrafo quinto excluye de modo expreso. Bastaría con requerir el pago o levantar actas de no localización cada cierto tiempo para que el crédito se volviera imprescriptible, y el límite de diez años, redactado para no excederse </w:t>
      </w:r>
      <w:r>
        <w:rPr>
          <w:rFonts w:ascii="Arial" w:hAnsi="Arial"/>
          <w:b w:val="0"/>
          <w:i/>
          <w:sz w:val="28"/>
        </w:rPr>
        <w:t>“en ningún caso”</w:t>
      </w:r>
      <w:r>
        <w:rPr>
          <w:rFonts w:ascii="Arial" w:hAnsi="Arial"/>
          <w:b w:val="0"/>
          <w:i w:val="0"/>
          <w:sz w:val="28"/>
        </w:rPr>
        <w:t>, quedaría a disposición de la propia acreedora. Ninguna interpretación que conduzca a ese resultado es compatible con la seguridad jurídica ni con el texto de la norma.</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el crédito fiscal </w:t>
      </w:r>
      <w:r>
        <w:rPr>
          <w:rFonts w:ascii="Arial" w:hAnsi="Arial"/>
          <w:b/>
          <w:i w:val="0"/>
          <w:sz w:val="28"/>
        </w:rPr>
        <w:t>[NÚMERO DE CONTROL DEL CRÉDITO FISCAL]</w:t>
      </w:r>
      <w:r>
        <w:rPr>
          <w:rFonts w:ascii="Arial" w:hAnsi="Arial"/>
          <w:b w:val="0"/>
          <w:i w:val="0"/>
          <w:sz w:val="28"/>
        </w:rPr>
        <w:t xml:space="preserve"> pudo ser legalmente exigido el </w:t>
      </w:r>
      <w:r>
        <w:rPr>
          <w:rFonts w:ascii="Arial" w:hAnsi="Arial"/>
          <w:b/>
          <w:i w:val="0"/>
          <w:sz w:val="28"/>
        </w:rPr>
        <w:t>[FECHA EN QUE EL CRÉDITO PUDO SER LEGALMENTE EXIGIDO]</w:t>
      </w:r>
      <w:r>
        <w:rPr>
          <w:rFonts w:ascii="Arial" w:hAnsi="Arial"/>
          <w:b w:val="0"/>
          <w:i w:val="0"/>
          <w:sz w:val="28"/>
        </w:rPr>
        <w:t xml:space="preserve">; el límite de diez años del artículo 146, párrafo quinto, del Código Fiscal de la Federación, aplicable por la fracción X del Artículo Segundo Transitorio del decreto publicado el 9 de diciembre de 2013, se cumplió el </w:t>
      </w:r>
      <w:r>
        <w:rPr>
          <w:rFonts w:ascii="Arial" w:hAnsi="Arial"/>
          <w:b/>
          <w:i w:val="0"/>
          <w:sz w:val="28"/>
        </w:rPr>
        <w:t>[FECHA EN QUE SE CUMPLIERON LOS DIEZ AÑOS]</w:t>
      </w:r>
      <w:r>
        <w:rPr>
          <w:rFonts w:ascii="Arial" w:hAnsi="Arial"/>
          <w:b w:val="0"/>
          <w:i w:val="0"/>
          <w:sz w:val="28"/>
        </w:rPr>
        <w:t>; las interrupciones invocadas forman parte de ese límite, y la autoridad no acredita suspensión alguna en términos del artículo 144.</w:t>
      </w:r>
    </w:p>
    <w:p>
      <w:pPr>
        <w:spacing w:line="360" w:lineRule="auto"/>
        <w:jc w:val="both"/>
      </w:pPr>
      <w:r>
        <w:rPr>
          <w:rFonts w:ascii="Arial" w:hAnsi="Arial"/>
          <w:b w:val="0"/>
          <w:i w:val="0"/>
          <w:sz w:val="28"/>
        </w:rPr>
        <w:t>Por lo expuesto, procede declarar fundado este concepto de impugnación, declarar que el crédito fiscal se extinguió por prescripción y decretar la nulidad lisa y llana de los actos impugnados, con fundamento en los artículos 51, fracción IV, y 52, fracción II, de la Ley Federal de Procedimiento Contencioso Administrativo. Se solicita su estudio preferente conforme al artículo 50, segundo párrafo, de la misma ley, porque su acogimiento otorga a la parte actora el mayor beneficio y hace innecesario el examen de los restantes conceptos.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1143.</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 p. 694.</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HERNÁNDEZ VALLE, Rubén, </w:t>
      </w:r>
      <w:r>
        <w:rPr>
          <w:rFonts w:ascii="Arial" w:hAnsi="Arial"/>
          <w:i/>
          <w:sz w:val="20"/>
        </w:rPr>
        <w:t>Derecho procesal constitucional y derecho convencional</w:t>
      </w:r>
      <w:r>
        <w:rPr>
          <w:rFonts w:ascii="Arial" w:hAnsi="Arial"/>
          <w:i w:val="0"/>
          <w:sz w:val="20"/>
        </w:rPr>
        <w:t>, Instituto de Estudios Constitucionales del Estado de Querétaro, México, 2021, p. 228.</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91.</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64.</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HERNÁNDEZ VALLE, Rubén, </w:t>
      </w:r>
      <w:r>
        <w:rPr>
          <w:rFonts w:ascii="Arial" w:hAnsi="Arial"/>
          <w:i/>
          <w:sz w:val="20"/>
        </w:rPr>
        <w:t>Derecho procesal constitucional y derecho convencional</w:t>
      </w:r>
      <w:r>
        <w:rPr>
          <w:rFonts w:ascii="Arial" w:hAnsi="Arial"/>
          <w:i w:val="0"/>
          <w:sz w:val="20"/>
        </w:rPr>
        <w:t>, Instituto de Estudios Constitucionales del Estado de Querétaro, México, 2021.</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