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DEMANDA DE NULIDAD. CADUCIDAD DEL PLAZO DE CUATRO MESES DEL PAMA</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Este machote es un concepto de impugnación para tu demanda de nulidad ante el Tribunal Federal de Justicia Administrativa. Antes de rellenarlo, ten a la vista tres documentos: la resolución determinante, el acta de notificación y las constancias del procedimiento administrativo en materia aduanera.</w:t>
      </w:r>
    </w:p>
    <w:p>
      <w:pPr>
        <w:spacing w:line="360" w:lineRule="auto"/>
        <w:jc w:val="both"/>
      </w:pPr>
      <w:r>
        <w:rPr>
          <w:rFonts w:ascii="Arial" w:hAnsi="Arial"/>
          <w:b w:val="0"/>
          <w:i w:val="0"/>
          <w:sz w:val="24"/>
        </w:rPr>
        <w:t>Paso 1: localiza en el cuerpo de la resolución impugnada el párrafo donde la autoridad reconoce la fecha en que quedó debidamente integrado el expediente y cópiala tal cual. Paso 2: cuenta cuatro meses a partir del día siguiente y anota la fecha de vencimiento. Paso 3: lee el acta de notificación y subraya con quién se entendió la diligencia y si el notificador asentó que dejó o no citatorio previo; transcribe ese pasaje. Paso 4: si vas a negar la notificación, cuida que la manifestación bajo protesta de decir verdad y la negativa lisa y llana aparezcan en el escrito inicial, no sólo en la ampliación. Paso 5: presenta la demanda dentro del plazo legal y conserva el acuse.</w:t>
      </w:r>
    </w:p>
    <w:p>
      <w:pPr>
        <w:spacing w:line="360" w:lineRule="auto"/>
        <w:jc w:val="both"/>
      </w:pPr>
      <w:r>
        <w:rPr>
          <w:rFonts w:ascii="Arial" w:hAnsi="Arial"/>
          <w:b w:val="0"/>
          <w:i w:val="0"/>
          <w:sz w:val="24"/>
        </w:rPr>
        <w:t>Campos editables y qué poner en cada uno:</w:t>
      </w:r>
    </w:p>
    <w:p>
      <w:pPr>
        <w:spacing w:line="360" w:lineRule="auto"/>
        <w:jc w:val="both"/>
      </w:pPr>
      <w:r>
        <w:rPr>
          <w:rFonts w:ascii="Arial" w:hAnsi="Arial"/>
          <w:b/>
          <w:i w:val="0"/>
          <w:sz w:val="24"/>
        </w:rPr>
        <w:t>[NÚMERO ORDINAL DEL CONCEPTO]</w:t>
      </w:r>
      <w:r>
        <w:rPr>
          <w:rFonts w:ascii="Arial" w:hAnsi="Arial"/>
          <w:b w:val="0"/>
          <w:i w:val="0"/>
          <w:sz w:val="24"/>
        </w:rPr>
        <w:t>: PRIMERO, SEGUNDO, etcétera, según el orden de tus conceptos de impugnación.</w:t>
      </w:r>
    </w:p>
    <w:p>
      <w:pPr>
        <w:spacing w:line="360" w:lineRule="auto"/>
        <w:jc w:val="both"/>
      </w:pPr>
      <w:r>
        <w:rPr>
          <w:rFonts w:ascii="Arial" w:hAnsi="Arial"/>
          <w:b/>
          <w:i w:val="0"/>
          <w:sz w:val="24"/>
        </w:rPr>
        <w:t>[NOMBRE DE LA PARTE ACTORA]</w:t>
      </w:r>
      <w:r>
        <w:rPr>
          <w:rFonts w:ascii="Arial" w:hAnsi="Arial"/>
          <w:b w:val="0"/>
          <w:i w:val="0"/>
          <w:sz w:val="24"/>
        </w:rPr>
        <w:t>: la persona física o moral a la que se determinaron los créditos.</w:t>
      </w:r>
    </w:p>
    <w:p>
      <w:pPr>
        <w:spacing w:line="360" w:lineRule="auto"/>
        <w:jc w:val="both"/>
      </w:pPr>
      <w:r>
        <w:rPr>
          <w:rFonts w:ascii="Arial" w:hAnsi="Arial"/>
          <w:b/>
          <w:i w:val="0"/>
          <w:sz w:val="24"/>
        </w:rPr>
        <w:t>[AUTORIDAD DEMANDADA]</w:t>
      </w:r>
      <w:r>
        <w:rPr>
          <w:rFonts w:ascii="Arial" w:hAnsi="Arial"/>
          <w:b w:val="0"/>
          <w:i w:val="0"/>
          <w:sz w:val="24"/>
        </w:rPr>
        <w:t>: la denominación completa de la autoridad que emitió la resolución determinante.</w:t>
      </w:r>
    </w:p>
    <w:p>
      <w:pPr>
        <w:spacing w:line="360" w:lineRule="auto"/>
        <w:jc w:val="both"/>
      </w:pPr>
      <w:r>
        <w:rPr>
          <w:rFonts w:ascii="Arial" w:hAnsi="Arial"/>
          <w:b/>
          <w:i w:val="0"/>
          <w:sz w:val="24"/>
        </w:rPr>
        <w:t>[NÚMERO Y FECHA DEL OFICIO DETERMINANTE]</w:t>
      </w:r>
      <w:r>
        <w:rPr>
          <w:rFonts w:ascii="Arial" w:hAnsi="Arial"/>
          <w:b w:val="0"/>
          <w:i w:val="0"/>
          <w:sz w:val="24"/>
        </w:rPr>
        <w:t>: número de oficio y fecha exactos, tal como aparecen en la resolución.</w:t>
      </w:r>
    </w:p>
    <w:p>
      <w:pPr>
        <w:spacing w:line="360" w:lineRule="auto"/>
        <w:jc w:val="both"/>
      </w:pPr>
      <w:r>
        <w:rPr>
          <w:rFonts w:ascii="Arial" w:hAnsi="Arial"/>
          <w:b/>
          <w:i w:val="0"/>
          <w:sz w:val="24"/>
        </w:rPr>
        <w:t>[NÚMERO Y FECHA DE LA ORDEN DE VISITA DOMICILIARIA]</w:t>
      </w:r>
      <w:r>
        <w:rPr>
          <w:rFonts w:ascii="Arial" w:hAnsi="Arial"/>
          <w:b w:val="0"/>
          <w:i w:val="0"/>
          <w:sz w:val="24"/>
        </w:rPr>
        <w:t>: los datos de la orden con la que inició la visita.</w:t>
      </w:r>
    </w:p>
    <w:p>
      <w:pPr>
        <w:spacing w:line="360" w:lineRule="auto"/>
        <w:jc w:val="both"/>
      </w:pPr>
      <w:r>
        <w:rPr>
          <w:rFonts w:ascii="Arial" w:hAnsi="Arial"/>
          <w:b/>
          <w:i w:val="0"/>
          <w:sz w:val="24"/>
        </w:rPr>
        <w:t>[FECHA DEL ACTA DE EMBARGO PRECAUTORIO E INICIO DEL PAMA]</w:t>
      </w:r>
      <w:r>
        <w:rPr>
          <w:rFonts w:ascii="Arial" w:hAnsi="Arial"/>
          <w:b w:val="0"/>
          <w:i w:val="0"/>
          <w:sz w:val="24"/>
        </w:rPr>
        <w:t>: la fecha del acta que hizo las veces de acta final.</w:t>
      </w:r>
    </w:p>
    <w:p>
      <w:pPr>
        <w:spacing w:line="360" w:lineRule="auto"/>
        <w:jc w:val="both"/>
      </w:pPr>
      <w:r>
        <w:rPr>
          <w:rFonts w:ascii="Arial" w:hAnsi="Arial"/>
          <w:b/>
          <w:i w:val="0"/>
          <w:sz w:val="24"/>
        </w:rPr>
        <w:t>[DESCRIPCIÓN DE LA MERCANCÍA EMBARGADA]</w:t>
      </w:r>
      <w:r>
        <w:rPr>
          <w:rFonts w:ascii="Arial" w:hAnsi="Arial"/>
          <w:b w:val="0"/>
          <w:i w:val="0"/>
          <w:sz w:val="24"/>
        </w:rPr>
        <w:t>: la descripción que consta en el acta, sin resumirla.</w:t>
      </w:r>
    </w:p>
    <w:p>
      <w:pPr>
        <w:spacing w:line="360" w:lineRule="auto"/>
        <w:jc w:val="both"/>
      </w:pPr>
      <w:r>
        <w:rPr>
          <w:rFonts w:ascii="Arial" w:hAnsi="Arial"/>
          <w:b/>
          <w:i w:val="0"/>
          <w:sz w:val="24"/>
        </w:rPr>
        <w:t>[FECHA EN QUE QUEDÓ DEBIDAMENTE INTEGRADO EL EXPEDIENTE]</w:t>
      </w:r>
      <w:r>
        <w:rPr>
          <w:rFonts w:ascii="Arial" w:hAnsi="Arial"/>
          <w:b w:val="0"/>
          <w:i w:val="0"/>
          <w:sz w:val="24"/>
        </w:rPr>
        <w:t>: la que reconoce la propia resolución impugnada.</w:t>
      </w:r>
    </w:p>
    <w:p>
      <w:pPr>
        <w:spacing w:line="360" w:lineRule="auto"/>
        <w:jc w:val="both"/>
      </w:pPr>
      <w:r>
        <w:rPr>
          <w:rFonts w:ascii="Arial" w:hAnsi="Arial"/>
          <w:b/>
          <w:i w:val="0"/>
          <w:sz w:val="24"/>
        </w:rPr>
        <w:t>[FECHA EN QUE VENCIÓ EL PLAZO DE CUATRO MESES]</w:t>
      </w:r>
      <w:r>
        <w:rPr>
          <w:rFonts w:ascii="Arial" w:hAnsi="Arial"/>
          <w:b w:val="0"/>
          <w:i w:val="0"/>
          <w:sz w:val="24"/>
        </w:rPr>
        <w:t>: el resultado de tu cómputo, contado desde el día siguiente a la integración.</w:t>
      </w:r>
    </w:p>
    <w:p>
      <w:pPr>
        <w:spacing w:line="360" w:lineRule="auto"/>
        <w:jc w:val="both"/>
      </w:pPr>
      <w:r>
        <w:rPr>
          <w:rFonts w:ascii="Arial" w:hAnsi="Arial"/>
          <w:b/>
          <w:i w:val="0"/>
          <w:sz w:val="24"/>
        </w:rPr>
        <w:t>[FECHA DE LA DILIGENCIA DE NOTIFICACIÓN QUE SE IMPUGNA]</w:t>
      </w:r>
      <w:r>
        <w:rPr>
          <w:rFonts w:ascii="Arial" w:hAnsi="Arial"/>
          <w:b w:val="0"/>
          <w:i w:val="0"/>
          <w:sz w:val="24"/>
        </w:rPr>
        <w:t>: la del acta que la autoridad invoca para sostener la extemporaneidad.</w:t>
      </w:r>
    </w:p>
    <w:p>
      <w:pPr>
        <w:spacing w:line="360" w:lineRule="auto"/>
        <w:jc w:val="both"/>
      </w:pPr>
      <w:r>
        <w:rPr>
          <w:rFonts w:ascii="Arial" w:hAnsi="Arial"/>
          <w:b/>
          <w:i w:val="0"/>
          <w:sz w:val="24"/>
        </w:rPr>
        <w:t>[NOMBRE DE LA PERSONA CON QUIEN SE ENTENDIÓ LA DILIGENCIA]</w:t>
      </w:r>
      <w:r>
        <w:rPr>
          <w:rFonts w:ascii="Arial" w:hAnsi="Arial"/>
          <w:b w:val="0"/>
          <w:i w:val="0"/>
          <w:sz w:val="24"/>
        </w:rPr>
        <w:t>: como aparece en el acta, precisando el carácter que dijo tener.</w:t>
      </w:r>
    </w:p>
    <w:p>
      <w:pPr>
        <w:spacing w:line="360" w:lineRule="auto"/>
        <w:jc w:val="both"/>
      </w:pPr>
      <w:r>
        <w:rPr>
          <w:rFonts w:ascii="Arial" w:hAnsi="Arial"/>
          <w:b/>
          <w:i w:val="0"/>
          <w:sz w:val="24"/>
        </w:rPr>
        <w:t>[TRANSCRIPCIÓN DEL PASAJE DEL ACTA DE NOTIFICACIÓN]</w:t>
      </w:r>
      <w:r>
        <w:rPr>
          <w:rFonts w:ascii="Arial" w:hAnsi="Arial"/>
          <w:b w:val="0"/>
          <w:i w:val="0"/>
          <w:sz w:val="24"/>
        </w:rPr>
        <w:t>: el fragmento donde consta con quién se entendió y si hubo o no citatorio previo.</w:t>
      </w:r>
    </w:p>
    <w:p>
      <w:pPr>
        <w:spacing w:line="360" w:lineRule="auto"/>
        <w:jc w:val="both"/>
      </w:pPr>
      <w:r>
        <w:rPr>
          <w:rFonts w:ascii="Arial" w:hAnsi="Arial"/>
          <w:b/>
          <w:i w:val="0"/>
          <w:sz w:val="24"/>
        </w:rPr>
        <w:t>[FECHA DE PRESENTACIÓN DE LA DEMANDA]</w:t>
      </w:r>
      <w:r>
        <w:rPr>
          <w:rFonts w:ascii="Arial" w:hAnsi="Arial"/>
          <w:b w:val="0"/>
          <w:i w:val="0"/>
          <w:sz w:val="24"/>
        </w:rPr>
        <w:t>: la del acuse de la oficialía de partes o del sistema en línea.</w:t>
      </w:r>
    </w:p>
    <w:p>
      <w:pPr>
        <w:spacing w:line="360" w:lineRule="auto"/>
        <w:jc w:val="both"/>
      </w:pPr>
      <w:r>
        <w:rPr>
          <w:rFonts w:ascii="Arial" w:hAnsi="Arial"/>
          <w:b/>
          <w:i w:val="0"/>
          <w:sz w:val="24"/>
        </w:rPr>
        <w:t>[SALA REGIONAL COMPETENTE]</w:t>
      </w:r>
      <w:r>
        <w:rPr>
          <w:rFonts w:ascii="Arial" w:hAnsi="Arial"/>
          <w:b w:val="0"/>
          <w:i w:val="0"/>
          <w:sz w:val="24"/>
        </w:rPr>
        <w:t>: la Sala Regional ante la que promueves.</w:t>
      </w:r>
    </w:p>
    <w:p/>
    <w:p>
      <w:pPr>
        <w:spacing w:line="360" w:lineRule="auto"/>
        <w:jc w:val="both"/>
      </w:pPr>
      <w:r>
        <w:rPr>
          <w:rFonts w:ascii="Arial" w:hAnsi="Arial"/>
          <w:b/>
          <w:sz w:val="28"/>
        </w:rPr>
        <w:t>[NÚMERO ORDINAL DEL CONCEPTO] CONCEPTO DE IMPUGNACIÓN. Caducidad del plazo de cuatro meses previsto en el artículo 155 de la Ley Aduanera. La resolución que determinó los créditos fiscales al cierre del procedimiento administrativo en materia aduanera se emitió y se dio a conocer cuando ese plazo ya había fenecido, porque la única diligencia de notificación practicada carece de validez; se actualiza la causal del artículo 51, fracción IV, y procede la nulidad lisa y llana conforme al artículo 52, fracción II, de la Ley Federal de Procedimiento Contencioso Administrativo.</w:t>
      </w:r>
    </w:p>
    <w:p>
      <w:pPr>
        <w:spacing w:line="360" w:lineRule="auto"/>
        <w:jc w:val="both"/>
      </w:pPr>
      <w:r>
        <w:rPr>
          <w:rFonts w:ascii="Arial" w:hAnsi="Arial"/>
          <w:b/>
          <w:sz w:val="28"/>
        </w:rPr>
        <w:t>I. Síntesis del concepto de impugnación.</w:t>
      </w:r>
    </w:p>
    <w:p>
      <w:pPr>
        <w:spacing w:line="360" w:lineRule="auto"/>
        <w:jc w:val="both"/>
      </w:pPr>
      <w:r>
        <w:rPr>
          <w:rFonts w:ascii="Arial" w:hAnsi="Arial"/>
          <w:b w:val="0"/>
          <w:i w:val="0"/>
          <w:sz w:val="28"/>
        </w:rPr>
        <w:t xml:space="preserve">En este apartado se demostrará que la resolución contenida en el oficio </w:t>
      </w:r>
      <w:r>
        <w:rPr>
          <w:rFonts w:ascii="Arial" w:hAnsi="Arial"/>
          <w:b/>
          <w:i w:val="0"/>
          <w:sz w:val="28"/>
        </w:rPr>
        <w:t>[NÚMERO Y FECHA DEL OFICIO DETERMINANTE]</w:t>
      </w:r>
      <w:r>
        <w:rPr>
          <w:rFonts w:ascii="Arial" w:hAnsi="Arial"/>
          <w:b w:val="0"/>
          <w:i w:val="0"/>
          <w:sz w:val="28"/>
        </w:rPr>
        <w:t xml:space="preserve">, por la que la </w:t>
      </w:r>
      <w:r>
        <w:rPr>
          <w:rFonts w:ascii="Arial" w:hAnsi="Arial"/>
          <w:b/>
          <w:i w:val="0"/>
          <w:sz w:val="28"/>
        </w:rPr>
        <w:t>[AUTORIDAD DEMANDADA]</w:t>
      </w:r>
      <w:r>
        <w:rPr>
          <w:rFonts w:ascii="Arial" w:hAnsi="Arial"/>
          <w:b w:val="0"/>
          <w:i w:val="0"/>
          <w:sz w:val="28"/>
        </w:rPr>
        <w:t xml:space="preserve"> determinó a cargo de </w:t>
      </w:r>
      <w:r>
        <w:rPr>
          <w:rFonts w:ascii="Arial" w:hAnsi="Arial"/>
          <w:b/>
          <w:i w:val="0"/>
          <w:sz w:val="28"/>
        </w:rPr>
        <w:t>[NOMBRE DE LA PARTE ACTORA]</w:t>
      </w:r>
      <w:r>
        <w:rPr>
          <w:rFonts w:ascii="Arial" w:hAnsi="Arial"/>
          <w:b w:val="0"/>
          <w:i w:val="0"/>
          <w:sz w:val="28"/>
        </w:rPr>
        <w:t xml:space="preserve"> los créditos fiscales que se combaten, es ilegal porque se dictó y se dio a conocer cuando ya había vencido el plazo de cuatro meses que el artículo 155 de la Ley Aduanera concede a la autoridad para resolver el procedimiento administrativo en materia aduanera iniciado con el embargo precautorio de la mercancía.</w:t>
      </w:r>
    </w:p>
    <w:p>
      <w:pPr>
        <w:spacing w:line="360" w:lineRule="auto"/>
        <w:jc w:val="both"/>
      </w:pPr>
      <w:r>
        <w:rPr>
          <w:rFonts w:ascii="Arial" w:hAnsi="Arial"/>
          <w:b w:val="0"/>
          <w:i w:val="0"/>
          <w:sz w:val="28"/>
        </w:rPr>
        <w:t xml:space="preserve">La demostración descansa en dos eslabones que se sostienen uno al otro. El primero consiste en que la diligencia de </w:t>
      </w:r>
      <w:r>
        <w:rPr>
          <w:rFonts w:ascii="Arial" w:hAnsi="Arial"/>
          <w:b/>
          <w:i w:val="0"/>
          <w:sz w:val="28"/>
        </w:rPr>
        <w:t>[FECHA DE LA DILIGENCIA DE NOTIFICACIÓN QUE SE IMPUGNA]</w:t>
      </w:r>
      <w:r>
        <w:rPr>
          <w:rFonts w:ascii="Arial" w:hAnsi="Arial"/>
          <w:b w:val="0"/>
          <w:i w:val="0"/>
          <w:sz w:val="28"/>
        </w:rPr>
        <w:t xml:space="preserve"> no es una notificación legalmente practicada, pues se entendió con una persona ajena cuya autorización no consta en el expediente y el propio notificador asentó que no dejó citatorio previo. El segundo consiste en que, descartada esa diligencia, la parte actora quedó enterada de la resolución hasta </w:t>
      </w:r>
      <w:r>
        <w:rPr>
          <w:rFonts w:ascii="Arial" w:hAnsi="Arial"/>
          <w:b/>
          <w:i w:val="0"/>
          <w:sz w:val="28"/>
        </w:rPr>
        <w:t>[FECHA DE PRESENTACIÓN DE LA DEMANDA]</w:t>
      </w:r>
      <w:r>
        <w:rPr>
          <w:rFonts w:ascii="Arial" w:hAnsi="Arial"/>
          <w:b w:val="0"/>
          <w:i w:val="0"/>
          <w:sz w:val="28"/>
        </w:rPr>
        <w:t>, cuando el plazo legal ya se había agotado.</w:t>
      </w:r>
    </w:p>
    <w:p>
      <w:pPr>
        <w:spacing w:line="360" w:lineRule="auto"/>
        <w:jc w:val="both"/>
      </w:pPr>
      <w:r>
        <w:rPr>
          <w:rFonts w:ascii="Arial" w:hAnsi="Arial"/>
          <w:b w:val="0"/>
          <w:i w:val="0"/>
          <w:sz w:val="28"/>
        </w:rPr>
        <w:t>El beneficio que se persigue es el mayor posible dentro de este juicio. No se pretende que la autoridad reponga el procedimiento ni que vuelva a dictar la resolución, sino que se declare su nulidad lisa y llana, porque el propio artículo 155 de la Ley Aduanera dispone que, de no emitirse la resolución definitiva dentro del término, quedan sin efectos las actuaciones que dieron inicio al procedimiento, lo que comprende el acta de embargo precautorio y, por tanto, la retención de la mercancía.</w:t>
      </w:r>
    </w:p>
    <w:p>
      <w:pPr>
        <w:spacing w:line="360" w:lineRule="auto"/>
        <w:jc w:val="both"/>
      </w:pPr>
      <w:r>
        <w:rPr>
          <w:rFonts w:ascii="Arial" w:hAnsi="Arial"/>
          <w:b w:val="0"/>
          <w:i w:val="0"/>
          <w:sz w:val="28"/>
        </w:rPr>
        <w:t>Por esa razón se solicita el estudio preferente de este concepto de impugnación. Si resulta fundado, la consecuencia jurídica agota la pretensión de la parte actora y vuelve innecesario el examen de los restantes planteamientos, pues cualquiera que fuese su resultado no variaría el sentido del fallo ni ampliaría el beneficio obtenido.</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La resolución impugnada es la contenida en el oficio </w:t>
      </w:r>
      <w:r>
        <w:rPr>
          <w:rFonts w:ascii="Arial" w:hAnsi="Arial"/>
          <w:b/>
          <w:i w:val="0"/>
          <w:sz w:val="28"/>
        </w:rPr>
        <w:t>[NÚMERO Y FECHA DEL OFICIO DETERMINANTE]</w:t>
      </w:r>
      <w:r>
        <w:rPr>
          <w:rFonts w:ascii="Arial" w:hAnsi="Arial"/>
          <w:b w:val="0"/>
          <w:i w:val="0"/>
          <w:sz w:val="28"/>
        </w:rPr>
        <w:t xml:space="preserve">, por la que la autoridad determinó a cargo de la parte actora los créditos fiscales que se combaten. Se trata del acto con el que culminó el procedimiento administrativo en materia aduanera iniciado con la orden de visita domiciliaria </w:t>
      </w:r>
      <w:r>
        <w:rPr>
          <w:rFonts w:ascii="Arial" w:hAnsi="Arial"/>
          <w:b/>
          <w:i w:val="0"/>
          <w:sz w:val="28"/>
        </w:rPr>
        <w:t>[NÚMERO Y FECHA DE LA ORDEN DE VISITA DOMICILIARIA]</w:t>
      </w:r>
      <w:r>
        <w:rPr>
          <w:rFonts w:ascii="Arial" w:hAnsi="Arial"/>
          <w:b w:val="0"/>
          <w:i w:val="0"/>
          <w:sz w:val="28"/>
        </w:rPr>
        <w:t xml:space="preserve"> y con el acta de </w:t>
      </w:r>
      <w:r>
        <w:rPr>
          <w:rFonts w:ascii="Arial" w:hAnsi="Arial"/>
          <w:b/>
          <w:i w:val="0"/>
          <w:sz w:val="28"/>
        </w:rPr>
        <w:t>[FECHA DEL ACTA DE EMBARGO PRECAUTORIO E INICIO DEL PAMA]</w:t>
      </w:r>
      <w:r>
        <w:rPr>
          <w:rFonts w:ascii="Arial" w:hAnsi="Arial"/>
          <w:b w:val="0"/>
          <w:i w:val="0"/>
          <w:sz w:val="28"/>
        </w:rPr>
        <w:t xml:space="preserve">, en la que se hicieron constar los hechos advertidos y se embargó precautoriamente </w:t>
      </w:r>
      <w:r>
        <w:rPr>
          <w:rFonts w:ascii="Arial" w:hAnsi="Arial"/>
          <w:b/>
          <w:i w:val="0"/>
          <w:sz w:val="28"/>
        </w:rPr>
        <w:t>[DESCRIPCIÓN DE LA MERCANCÍA EMBARGADA]</w:t>
      </w:r>
      <w:r>
        <w:rPr>
          <w:rFonts w:ascii="Arial" w:hAnsi="Arial"/>
          <w:b w:val="0"/>
          <w:i w:val="0"/>
          <w:sz w:val="28"/>
        </w:rPr>
        <w:t>.</w:t>
      </w:r>
    </w:p>
    <w:p>
      <w:pPr>
        <w:spacing w:line="360" w:lineRule="auto"/>
        <w:jc w:val="both"/>
      </w:pPr>
      <w:r>
        <w:rPr>
          <w:rFonts w:ascii="Arial" w:hAnsi="Arial"/>
          <w:b w:val="0"/>
          <w:i w:val="0"/>
          <w:sz w:val="28"/>
        </w:rPr>
        <w:t>Desde ahora, y bajo protesta de decir verdad, se manifiesta que la parte actora tuvo conocimiento de esa resolución hasta la fecha de presentación de esta demanda, por lo que la controvierte en términos del artículo 16, fracción I, de la Ley Federal de Procedimiento Contencioso Administrativo; y se niega lisa y llanamente, conforme al artículo 42 del mismo ordenamiento, que el acto impugnado le haya sido notificado con arreglo a los artículos 134 y 137 del Código Fiscal de la Federación.</w:t>
      </w:r>
    </w:p>
    <w:p>
      <w:pPr>
        <w:spacing w:line="360" w:lineRule="auto"/>
        <w:jc w:val="both"/>
      </w:pPr>
      <w:r>
        <w:rPr>
          <w:rFonts w:ascii="Arial" w:hAnsi="Arial"/>
          <w:b w:val="0"/>
          <w:i w:val="0"/>
          <w:sz w:val="28"/>
        </w:rPr>
        <w:t>Las normas cuya inobservancia se plantea son el artículo 155 de la Ley Aduanera, que fija el plazo de cuatro meses para resolver y la consecuencia de su incumplimiento; los artículos 134, fracción I, y 137 del Código Fiscal de la Federación, que rigen la notificación personal y el citatorio previo; el artículo 38, fracción IV, del mismo Código, sobre fundamentación y motivación; y los artículos 14 y 16 de la Constitución Política de los Estados Unidos Mexicanos, que garantizan las formalidades esenciales del procedimiento y la seguridad jurídica.</w:t>
      </w:r>
    </w:p>
    <w:p>
      <w:pPr>
        <w:spacing w:line="360" w:lineRule="auto"/>
        <w:jc w:val="both"/>
      </w:pPr>
      <w:r>
        <w:rPr>
          <w:rFonts w:ascii="Arial" w:hAnsi="Arial"/>
          <w:b w:val="0"/>
          <w:i w:val="0"/>
          <w:sz w:val="28"/>
        </w:rPr>
        <w:t>El perjuicio es concreto y actual. La parte actora resiente la exigencia de las cantidades determinadas como créditos fiscales, con los accesorios y el eventual procedimiento administrativo de ejecución que de ellos derivan, y la privación material de la mercancía embargada, todo ello con apoyo en un acto que la autoridad ya no podía válidamente dictar ni comunicar cuando lo hizo. La lesión no es formal: es patrimonial y se prolonga mientras la resolución subsista.</w:t>
      </w:r>
    </w:p>
    <w:p>
      <w:pPr>
        <w:spacing w:line="360" w:lineRule="auto"/>
        <w:jc w:val="both"/>
      </w:pPr>
      <w:r>
        <w:rPr>
          <w:rFonts w:ascii="Arial" w:hAnsi="Arial"/>
          <w:b w:val="0"/>
          <w:i w:val="0"/>
          <w:sz w:val="28"/>
        </w:rPr>
        <w:t>En cuanto a la oportunidad del juicio, la demanda de nulidad se presenta dentro del plazo de treinta días que, para el juicio en la vía sumaria, previene el artículo 58-2, párrafo tercero, de la Ley Federal de Procedimiento Contencioso Administrativo. Y si, como aquí se sostiene, la diligencia que la autoridad invoca no surtió efecto jurídico alguno, el artículo 16, fracción III, segundo párrafo, de esa ley ordena tener a la parte actora por sabedora del acto en la fecha en que presentó su demanda.</w:t>
      </w:r>
    </w:p>
    <w:p>
      <w:pPr>
        <w:spacing w:line="360" w:lineRule="auto"/>
        <w:jc w:val="both"/>
      </w:pPr>
      <w:r>
        <w:rPr>
          <w:rFonts w:ascii="Arial" w:hAnsi="Arial"/>
          <w:b/>
          <w:sz w:val="28"/>
        </w:rPr>
        <w:t>III. Desarrollo normativo y doctrinal. Premisa mayor.</w:t>
      </w:r>
    </w:p>
    <w:p>
      <w:pPr>
        <w:spacing w:line="360" w:lineRule="auto"/>
        <w:jc w:val="both"/>
      </w:pPr>
      <w:r>
        <w:rPr>
          <w:rFonts w:ascii="Arial" w:hAnsi="Arial"/>
          <w:b w:val="0"/>
          <w:i w:val="0"/>
          <w:sz w:val="28"/>
        </w:rPr>
        <w:t>Conviene empezar por lo que es una notificación y por lo que no puede ser. La doctrina la define como un medio de comunicación procesal a través del cual, respetando las especies y formalidades que las distintas legislaciones prevén, se da a conocer a las partes o a terceros una resolución judicial o administrativa.</w:t>
      </w:r>
      <w:r>
        <w:rPr>
          <w:rFonts w:ascii="Arial" w:hAnsi="Arial"/>
          <w:vertAlign w:val="superscript"/>
        </w:rPr>
        <w:t>1</w:t>
      </w:r>
      <w:r>
        <w:rPr>
          <w:rFonts w:ascii="Arial" w:hAnsi="Arial"/>
          <w:b w:val="0"/>
          <w:i w:val="0"/>
          <w:sz w:val="28"/>
        </w:rPr>
        <w:t xml:space="preserve"> De esa definición se sigue una consecuencia que suele olvidarse: la notificación no vale por el hecho de haberse practicado, sino por haberse practicado como la ley lo manda; las formalidades no son adorno del acto, son el acto mismo.</w:t>
      </w:r>
    </w:p>
    <w:p>
      <w:pPr>
        <w:spacing w:line="360" w:lineRule="auto"/>
        <w:jc w:val="both"/>
      </w:pPr>
      <w:r>
        <w:rPr>
          <w:rFonts w:ascii="Arial" w:hAnsi="Arial"/>
          <w:b w:val="0"/>
          <w:i w:val="0"/>
          <w:sz w:val="28"/>
        </w:rPr>
        <w:t>Tratándose de notificaciones personales en materia fiscal, esas formalidades están en los artículos 134, fracción I, y 137 del Código Fiscal de la Federación, interpretados de manera sistemática con el artículo 13 del propio Código. De ellos se desprende que el notificador debe levantar acta circunstanciada en la que haga constar que se constituyó en el domicilio, la hora en que ello ocurrió, que requirió la presencia de la persona a notificar o de su representante legal y que, al no encontrarlos, dejó citatorio para que se le esperara a hora determinada del día hábil siguiente.</w:t>
      </w:r>
    </w:p>
    <w:p>
      <w:pPr>
        <w:spacing w:line="360" w:lineRule="auto"/>
        <w:jc w:val="both"/>
      </w:pPr>
      <w:r>
        <w:rPr>
          <w:rFonts w:ascii="Arial" w:hAnsi="Arial"/>
          <w:b w:val="0"/>
          <w:i w:val="0"/>
          <w:sz w:val="28"/>
        </w:rPr>
        <w:t>La circunstanciación no es un formulismo. Sólo a través de ella el contribuyente adquiere certeza sobre la forma en que se desarrolló el procedimiento de notificación y puede combatirlo; un acta imprecisa lo coloca en la imposibilidad de saber qué debe desvirtuar y de ofrecer las pruebas conducentes. Por eso el citatorio previo es la condición que legitima que la diligencia se entienda con alguien distinto del destinatario: sin cita previa, la presencia de un tercero en el domicilio no habilita a nadie para recibir la notificación en nombre ajeno.</w:t>
      </w:r>
    </w:p>
    <w:p>
      <w:pPr>
        <w:spacing w:line="360" w:lineRule="auto"/>
        <w:jc w:val="both"/>
      </w:pPr>
      <w:r>
        <w:rPr>
          <w:rFonts w:ascii="Arial" w:hAnsi="Arial"/>
          <w:b w:val="0"/>
          <w:i w:val="0"/>
          <w:sz w:val="28"/>
        </w:rPr>
        <w:t>Cuando el particular niega lisa y llanamente conocer el acto y haber sido notificado, el artículo 42 de la Ley Federal de Procedimiento Contencioso Administrativo desplaza la carga probatoria hacia la autoridad, y el artículo 16, fracciones I y III, de esa ley organiza el trámite: quien afirma la existencia y la regularidad de la notificación debe demostrarla con las constancias del expediente. La regla es tan antigua como el proceso mismo y la doctrina la enuncia sin matices: la prueba incumbe a quien afirma, no a quien niega.</w:t>
      </w:r>
      <w:r>
        <w:rPr>
          <w:rFonts w:ascii="Arial" w:hAnsi="Arial"/>
          <w:vertAlign w:val="superscript"/>
        </w:rPr>
        <w:t>2</w:t>
      </w:r>
    </w:p>
    <w:p>
      <w:pPr>
        <w:spacing w:line="360" w:lineRule="auto"/>
        <w:jc w:val="both"/>
      </w:pPr>
      <w:r>
        <w:rPr>
          <w:rFonts w:ascii="Arial" w:hAnsi="Arial"/>
          <w:b w:val="0"/>
          <w:i w:val="0"/>
          <w:sz w:val="28"/>
        </w:rPr>
        <w:t xml:space="preserve">Sentado lo anterior, procede la premisa de fondo. El artículo 155 de la Ley Aduanera dispone que, desahogadas las pruebas, </w:t>
      </w:r>
      <w:r>
        <w:rPr>
          <w:rFonts w:ascii="Arial" w:hAnsi="Arial"/>
          <w:b w:val="0"/>
          <w:i/>
          <w:sz w:val="28"/>
        </w:rPr>
        <w:t>«se dictará la resolución determinando, en su caso, las contribuciones y cuotas compensatorias omitidas e imponiendo las sanciones que procedan, en un plazo que no excederá de cuatro meses contados a partir del día siguiente a aquél en que se encuentre debidamente integrado el expediente»</w:t>
      </w:r>
      <w:r>
        <w:rPr>
          <w:rFonts w:ascii="Arial" w:hAnsi="Arial"/>
          <w:b w:val="0"/>
          <w:i w:val="0"/>
          <w:sz w:val="28"/>
        </w:rPr>
        <w:t>. El mismo precepto precisa cuándo se entiende integrado el expediente y cierra con una consecuencia terminante.</w:t>
      </w:r>
    </w:p>
    <w:p>
      <w:pPr>
        <w:spacing w:line="360" w:lineRule="auto"/>
        <w:jc w:val="both"/>
      </w:pPr>
      <w:r>
        <w:rPr>
          <w:rFonts w:ascii="Arial" w:hAnsi="Arial"/>
          <w:b w:val="0"/>
          <w:i w:val="0"/>
          <w:sz w:val="28"/>
        </w:rPr>
        <w:t xml:space="preserve">Esa consecuencia es la siguiente: </w:t>
      </w:r>
      <w:r>
        <w:rPr>
          <w:rFonts w:ascii="Arial" w:hAnsi="Arial"/>
          <w:b w:val="0"/>
          <w:i/>
          <w:sz w:val="28"/>
        </w:rPr>
        <w:t>«De no emitirse la resolución definitiva en el término de referencia, quedarán sin efectos las actuaciones de la autoridad que dieron inicio al procedimiento»</w:t>
      </w:r>
      <w:r>
        <w:rPr>
          <w:rFonts w:ascii="Arial" w:hAnsi="Arial"/>
          <w:b w:val="0"/>
          <w:i w:val="0"/>
          <w:sz w:val="28"/>
        </w:rPr>
        <w:t>. El legislador no se limitó a fijar un plazo de buena conducta administrativa; anudó a su incumplimiento la pérdida de eficacia de todo lo actuado, empezando por el acta de embargo precautorio que dio inicio al procedimiento. De ahí que la sanción no sea la reposición, sino la desaparición jurídica del procedimiento entero.</w:t>
      </w:r>
    </w:p>
    <w:p>
      <w:pPr>
        <w:spacing w:line="360" w:lineRule="auto"/>
        <w:jc w:val="both"/>
      </w:pPr>
      <w:r>
        <w:rPr>
          <w:rFonts w:ascii="Arial" w:hAnsi="Arial"/>
          <w:b w:val="0"/>
          <w:i w:val="0"/>
          <w:sz w:val="28"/>
        </w:rPr>
        <w:t>El plazo comprende emitir y comunicar válidamente la resolución, no sólo firmarla. Sostener lo contrario conduciría a un resultado inaceptable: bastaría con datar el oficio dentro de los cuatro meses y guardarlo, para notificarlo un año después, con lo que el término dejaría de limitar cosa alguna. La doctrina de la interpretación llama argumento apagógico a aquel con el que se rechaza una lectura del texto normativo, en principio posible, porque conduce a resultados absurdos, por imposibles o inaceptables.</w:t>
      </w:r>
      <w:r>
        <w:rPr>
          <w:rFonts w:ascii="Arial" w:hAnsi="Arial"/>
          <w:vertAlign w:val="superscript"/>
        </w:rPr>
        <w:t>3</w:t>
      </w:r>
      <w:r>
        <w:rPr>
          <w:rFonts w:ascii="Arial" w:hAnsi="Arial"/>
          <w:b w:val="0"/>
          <w:i w:val="0"/>
          <w:sz w:val="28"/>
        </w:rPr>
        <w:t xml:space="preserve"> Éste es un caso de manual.</w:t>
      </w:r>
    </w:p>
    <w:p>
      <w:pPr>
        <w:spacing w:line="360" w:lineRule="auto"/>
        <w:jc w:val="both"/>
      </w:pPr>
      <w:r>
        <w:rPr>
          <w:rFonts w:ascii="Arial" w:hAnsi="Arial"/>
          <w:b w:val="0"/>
          <w:i w:val="0"/>
          <w:sz w:val="28"/>
        </w:rPr>
        <w:t>La lectura que aquí se propone es además la única compatible con los artículos 14 y 16 de la Constitución Política de los Estados Unidos Mexicanos y con el artículo 38, fracción IV, del Código Fiscal de la Federación. La seguridad jurídica supone la estabilidad del ordenamiento y exige normas que garanticen el equilibrio en las relaciones entre los órganos del Estado y las personas.</w:t>
      </w:r>
      <w:r>
        <w:rPr>
          <w:rFonts w:ascii="Arial" w:hAnsi="Arial"/>
          <w:vertAlign w:val="superscript"/>
        </w:rPr>
        <w:t>4</w:t>
      </w:r>
      <w:r>
        <w:rPr>
          <w:rFonts w:ascii="Arial" w:hAnsi="Arial"/>
          <w:b w:val="0"/>
          <w:i w:val="0"/>
          <w:sz w:val="28"/>
        </w:rPr>
        <w:t xml:space="preserve"> Un acto de molestia cuya comunicación quedara al arbitrio temporal de la autoridad rompería ese equilibrio y volvería indefinida la incertidumbre del particular.</w:t>
      </w:r>
    </w:p>
    <w:p>
      <w:pPr>
        <w:spacing w:line="360" w:lineRule="auto"/>
        <w:jc w:val="both"/>
      </w:pPr>
      <w:r>
        <w:rPr>
          <w:rFonts w:ascii="Arial" w:hAnsi="Arial"/>
          <w:b w:val="0"/>
          <w:i w:val="0"/>
          <w:sz w:val="28"/>
        </w:rPr>
        <w:t>De esta manera queda armada la premisa mayor. Si el expediente del procedimiento administrativo en materia aduanera quedó debidamente integrado en cierta fecha, la autoridad dispuso de cuatro meses contados a partir del día siguiente para dictar y notificar válidamente la resolución determinante; si no lo hizo, las actuaciones que iniciaron el procedimiento quedaron sin efectos, la resolución contraviene las disposiciones aplicadas y se actualiza la causal de ilegalidad del artículo 51, fracción IV, de la Ley Federal de Procedimiento Contencioso Administrativo.</w:t>
      </w:r>
    </w:p>
    <w:p>
      <w:pPr>
        <w:spacing w:line="360" w:lineRule="auto"/>
        <w:jc w:val="both"/>
      </w:pPr>
      <w:r>
        <w:rPr>
          <w:rFonts w:ascii="Arial" w:hAnsi="Arial"/>
          <w:b/>
          <w:sz w:val="28"/>
        </w:rPr>
        <w:t>IV. Aplicación al caso concreto y refutación de la defensa de la autoridad.</w:t>
      </w:r>
    </w:p>
    <w:p>
      <w:pPr>
        <w:spacing w:line="360" w:lineRule="auto"/>
        <w:jc w:val="both"/>
      </w:pPr>
      <w:r>
        <w:rPr>
          <w:rFonts w:ascii="Arial" w:hAnsi="Arial"/>
          <w:b w:val="0"/>
          <w:i w:val="0"/>
          <w:sz w:val="28"/>
        </w:rPr>
        <w:t xml:space="preserve">Los hechos encajan sin holgura en la premisa anterior. La propia resolución impugnada reconoce, en el apartado en que narra los antecedentes del procedimiento, que el expediente administrativo quedó debidamente integrado el </w:t>
      </w:r>
      <w:r>
        <w:rPr>
          <w:rFonts w:ascii="Arial" w:hAnsi="Arial"/>
          <w:b/>
          <w:i w:val="0"/>
          <w:sz w:val="28"/>
        </w:rPr>
        <w:t>[FECHA EN QUE QUEDÓ DEBIDAMENTE INTEGRADO EL EXPEDIENTE]</w:t>
      </w:r>
      <w:r>
        <w:rPr>
          <w:rFonts w:ascii="Arial" w:hAnsi="Arial"/>
          <w:b w:val="0"/>
          <w:i w:val="0"/>
          <w:sz w:val="28"/>
        </w:rPr>
        <w:t xml:space="preserve">. Ese reconocimiento proviene de la autoridad emisora y consta en el documento que ella misma elaboró, de modo que no requiere prueba adicional: el plazo de cuatro meses comenzó a correr al día siguiente y venció el </w:t>
      </w:r>
      <w:r>
        <w:rPr>
          <w:rFonts w:ascii="Arial" w:hAnsi="Arial"/>
          <w:b/>
          <w:i w:val="0"/>
          <w:sz w:val="28"/>
        </w:rPr>
        <w:t>[FECHA EN QUE VENCIÓ EL PLAZO DE CUATRO MESES]</w:t>
      </w:r>
      <w:r>
        <w:rPr>
          <w:rFonts w:ascii="Arial" w:hAnsi="Arial"/>
          <w:b w:val="0"/>
          <w:i w:val="0"/>
          <w:sz w:val="28"/>
        </w:rPr>
        <w:t>.</w:t>
      </w:r>
    </w:p>
    <w:p>
      <w:pPr>
        <w:spacing w:line="360" w:lineRule="auto"/>
        <w:jc w:val="both"/>
      </w:pPr>
      <w:r>
        <w:rPr>
          <w:rFonts w:ascii="Arial" w:hAnsi="Arial"/>
          <w:b w:val="0"/>
          <w:i w:val="0"/>
          <w:sz w:val="28"/>
        </w:rPr>
        <w:t xml:space="preserve">Dentro de ese lapso la autoridad no comunicó válidamente la resolución. La única diligencia que invoca es la de </w:t>
      </w:r>
      <w:r>
        <w:rPr>
          <w:rFonts w:ascii="Arial" w:hAnsi="Arial"/>
          <w:b/>
          <w:i w:val="0"/>
          <w:sz w:val="28"/>
        </w:rPr>
        <w:t>[FECHA DE LA DILIGENCIA DE NOTIFICACIÓN QUE SE IMPUGNA]</w:t>
      </w:r>
      <w:r>
        <w:rPr>
          <w:rFonts w:ascii="Arial" w:hAnsi="Arial"/>
          <w:b w:val="0"/>
          <w:i w:val="0"/>
          <w:sz w:val="28"/>
        </w:rPr>
        <w:t xml:space="preserve">, en la que el notificador asentó que se presentó en el domicilio y entendió la diligencia con </w:t>
      </w:r>
      <w:r>
        <w:rPr>
          <w:rFonts w:ascii="Arial" w:hAnsi="Arial"/>
          <w:b/>
          <w:i w:val="0"/>
          <w:sz w:val="28"/>
        </w:rPr>
        <w:t>[NOMBRE DE LA PERSONA CON QUIEN SE ENTENDIÓ LA DILIGENCIA]</w:t>
      </w:r>
      <w:r>
        <w:rPr>
          <w:rFonts w:ascii="Arial" w:hAnsi="Arial"/>
          <w:b w:val="0"/>
          <w:i w:val="0"/>
          <w:sz w:val="28"/>
        </w:rPr>
        <w:t xml:space="preserve">, quien manifestó estar autorizada para oír y recibir notificaciones, y en la que el mismo notificador precisó que no dejó citatorio previo, según se lee en el pasaje que se transcribe: </w:t>
      </w:r>
      <w:r>
        <w:rPr>
          <w:rFonts w:ascii="Arial" w:hAnsi="Arial"/>
          <w:b w:val="0"/>
          <w:i/>
          <w:sz w:val="28"/>
        </w:rPr>
        <w:t>«[TRANSCRIPCIÓN DEL PASAJE DEL ACTA DE NOTIFICACIÓN]»</w:t>
      </w:r>
      <w:r>
        <w:rPr>
          <w:rFonts w:ascii="Arial" w:hAnsi="Arial"/>
          <w:b w:val="0"/>
          <w:i w:val="0"/>
          <w:sz w:val="28"/>
        </w:rPr>
        <w:t>.</w:t>
      </w:r>
    </w:p>
    <w:p>
      <w:pPr>
        <w:spacing w:line="360" w:lineRule="auto"/>
        <w:jc w:val="both"/>
      </w:pPr>
      <w:r>
        <w:rPr>
          <w:rFonts w:ascii="Arial" w:hAnsi="Arial"/>
          <w:b w:val="0"/>
          <w:i w:val="0"/>
          <w:sz w:val="28"/>
        </w:rPr>
        <w:t>Esa acta contiene, ella sola, los dos vicios que la invalidan. Primero, la persona con quien se entendió la diligencia no era la destinataria ni su representante legal, y en el expediente no obra escrito alguno en el que la parte actora la hubiera autorizado para oír y recibir notificaciones. Segundo, el notificador reconoció expresamente que no dejó citatorio previo, con lo que quedó suprimido el único mecanismo que habría permitido entender la diligencia con persona distinta de la destinataria, en contravención de los artículos 134, fracción I, y 137 del Código Fiscal de la Federación.</w:t>
      </w:r>
    </w:p>
    <w:p>
      <w:pPr>
        <w:spacing w:line="360" w:lineRule="auto"/>
        <w:jc w:val="both"/>
      </w:pPr>
      <w:r>
        <w:rPr>
          <w:rFonts w:ascii="Arial" w:hAnsi="Arial"/>
          <w:b w:val="0"/>
          <w:i w:val="0"/>
          <w:sz w:val="28"/>
        </w:rPr>
        <w:t>La autoridad opondrá, como es habitual, que la resolución se notificó en tiempo precisamente el día de esa diligencia y que, por ello, la demanda resulta extemporánea y el juicio debe sobreseerse conforme a los artículos 8, fracción IV, y 9, fracción II, de la Ley Federal de Procedimiento Contencioso Administrativo. Ese razonamiento incurre en petición de principio, la falacia que consiste en postular o sentar aquello mismo que es preciso demostrar.</w:t>
      </w:r>
      <w:r>
        <w:rPr>
          <w:rFonts w:ascii="Arial" w:hAnsi="Arial"/>
          <w:vertAlign w:val="superscript"/>
        </w:rPr>
        <w:t>5</w:t>
      </w:r>
    </w:p>
    <w:p>
      <w:pPr>
        <w:spacing w:line="360" w:lineRule="auto"/>
        <w:jc w:val="both"/>
      </w:pPr>
      <w:r>
        <w:rPr>
          <w:rFonts w:ascii="Arial" w:hAnsi="Arial"/>
          <w:b w:val="0"/>
          <w:i w:val="0"/>
          <w:sz w:val="28"/>
        </w:rPr>
        <w:t>La estructura del error es transparente. Lo controvertido es si la diligencia fue una notificación legalmente practicada; la autoridad responde afirmando que sí lo fue y extrayendo de esa afirmación la extemporaneidad de la demanda. Es decir, usa como premisa la conclusión que debía probar. Contestar una negativa lisa y llana con la reiteración del acto negado no es argumentar, es repetir; y una repetición no traslada certeza alguna al expediente ni suple la constancia que la ley exige.</w:t>
      </w:r>
    </w:p>
    <w:p>
      <w:pPr>
        <w:spacing w:line="360" w:lineRule="auto"/>
        <w:jc w:val="both"/>
      </w:pPr>
      <w:r>
        <w:rPr>
          <w:rFonts w:ascii="Arial" w:hAnsi="Arial"/>
          <w:b w:val="0"/>
          <w:i w:val="0"/>
          <w:sz w:val="28"/>
        </w:rPr>
        <w:t>El mismo vicio aparece, en pequeño, dentro del acta. Que la persona con quien se entendió la diligencia dijera estar autorizada no prueba que lo estuviera: la manifestación es justamente el hecho puesto en duda. Lo que sirve de prueba en un argumento debe ser más claro y conocido que aquello que se quiere probar.</w:t>
      </w:r>
      <w:r>
        <w:rPr>
          <w:rFonts w:ascii="Arial" w:hAnsi="Arial"/>
          <w:vertAlign w:val="superscript"/>
        </w:rPr>
        <w:t>6</w:t>
      </w:r>
      <w:r>
        <w:rPr>
          <w:rFonts w:ascii="Arial" w:hAnsi="Arial"/>
          <w:b w:val="0"/>
          <w:i w:val="0"/>
          <w:sz w:val="28"/>
        </w:rPr>
        <w:t xml:space="preserve"> La autorización sólo podía acreditarse con el escrito respectivo, y ese escrito no obra en el expediente administrativo.</w:t>
      </w:r>
    </w:p>
    <w:p>
      <w:pPr>
        <w:spacing w:line="360" w:lineRule="auto"/>
        <w:jc w:val="both"/>
      </w:pPr>
      <w:r>
        <w:rPr>
          <w:rFonts w:ascii="Arial" w:hAnsi="Arial"/>
          <w:b w:val="0"/>
          <w:i w:val="0"/>
          <w:sz w:val="28"/>
        </w:rPr>
        <w:t>Tampoco es admisible el desplazamiento de la carga probatoria que la autoridad intenta. Frente a la afirmación de que no se dejó citatorio previo, no corresponde a la parte actora demostrar un hecho negativo, sino a la autoridad exhibir el citatorio que dice haber dejado y el escrito de autorización que invoca. Si no lo hace al contestar la demanda, su defensa quedará sin sustento: la ausencia de constancia no se transforma en prueba por el solo hecho de que nadie haya demostrado lo contrario.</w:t>
      </w:r>
    </w:p>
    <w:p>
      <w:pPr>
        <w:spacing w:line="360" w:lineRule="auto"/>
        <w:jc w:val="both"/>
      </w:pPr>
      <w:r>
        <w:rPr>
          <w:rFonts w:ascii="Arial" w:hAnsi="Arial"/>
          <w:b w:val="0"/>
          <w:i w:val="0"/>
          <w:sz w:val="28"/>
        </w:rPr>
        <w:t xml:space="preserve">Descartada la diligencia, el cómputo se ordena solo. Conforme al artículo 16, fracción III, segundo párrafo, de la Ley Federal de Procedimiento Contencioso Administrativo, la parte actora debe tenerse por sabedora de la resolución en la fecha de presentación de su demanda, esto es, el </w:t>
      </w:r>
      <w:r>
        <w:rPr>
          <w:rFonts w:ascii="Arial" w:hAnsi="Arial"/>
          <w:b/>
          <w:i w:val="0"/>
          <w:sz w:val="28"/>
        </w:rPr>
        <w:t>[FECHA DE PRESENTACIÓN DE LA DEMANDA]</w:t>
      </w:r>
      <w:r>
        <w:rPr>
          <w:rFonts w:ascii="Arial" w:hAnsi="Arial"/>
          <w:b w:val="0"/>
          <w:i w:val="0"/>
          <w:sz w:val="28"/>
        </w:rPr>
        <w:t>. Como esa fecha es posterior al vencimiento del plazo de cuatro meses, la resolución determinante se dio a conocer cuando la autoridad ya carecía de facultad temporal para hacerlo.</w:t>
      </w:r>
    </w:p>
    <w:p>
      <w:pPr>
        <w:spacing w:line="360" w:lineRule="auto"/>
        <w:jc w:val="both"/>
      </w:pPr>
      <w:r>
        <w:rPr>
          <w:rFonts w:ascii="Arial" w:hAnsi="Arial"/>
          <w:b w:val="0"/>
          <w:i w:val="0"/>
          <w:sz w:val="28"/>
        </w:rPr>
        <w:t>La conclusión se sigue con necesidad lógica. La resolución impugnada contraviene el artículo 155 de la Ley Aduanera, así como los artículos 14 y 16 constitucionales y 38, fracción IV, del Código Fiscal de la Federación, porque se dictó y comunicó fuera del plazo dentro del cual la autoridad estaba facultada para determinar contribuciones, cuotas compensatorias y sanciones derivadas del procedimiento; con ello se actualiza la causal de ilegalidad prevista en el artículo 51, fracción IV, de la Ley Federal de Procedimiento Contencioso Administrativo.</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Por lo expuesto, la nulidad que procede es lisa y llana y no para efectos. La distinción no es retórica: cuando el vicio consiste en haber resuelto fuera del plazo legal, ordenar la reposición del procedimiento equivaldría a devolver a la autoridad la facultad que perdió por el transcurso del tiempo, con lo que el artículo 155 de la Ley Aduanera quedaría reducido a una recomendación. La consecuencia que el propio precepto prevé es que las actuaciones que dieron inicio al procedimiento queden sin efectos.</w:t>
      </w:r>
    </w:p>
    <w:p>
      <w:pPr>
        <w:spacing w:line="360" w:lineRule="auto"/>
        <w:jc w:val="both"/>
      </w:pPr>
      <w:r>
        <w:rPr>
          <w:rFonts w:ascii="Arial" w:hAnsi="Arial"/>
          <w:b w:val="0"/>
          <w:i w:val="0"/>
          <w:sz w:val="28"/>
        </w:rPr>
        <w:t>De esa consecuencia derivan dos efectos que se solicitan expresamente. El primero es que la autoridad quede impedida para reiterar el acto, pues no puede volver a ejercer una facultad extinguida. El segundo es que se restituya a la parte actora en el goce de la mercancía embargada precautoriamente, ya que el acta de embargo es, precisamente, la actuación que dio inicio al procedimiento y que la ley priva de efectos.</w:t>
      </w:r>
    </w:p>
    <w:p>
      <w:pPr>
        <w:spacing w:line="360" w:lineRule="auto"/>
        <w:jc w:val="both"/>
      </w:pPr>
      <w:r>
        <w:rPr>
          <w:rFonts w:ascii="Arial" w:hAnsi="Arial"/>
          <w:b w:val="0"/>
          <w:i w:val="0"/>
          <w:sz w:val="28"/>
        </w:rPr>
        <w:t xml:space="preserve">En consecuencia, se solicita a esa </w:t>
      </w:r>
      <w:r>
        <w:rPr>
          <w:rFonts w:ascii="Arial" w:hAnsi="Arial"/>
          <w:b/>
          <w:i w:val="0"/>
          <w:sz w:val="28"/>
        </w:rPr>
        <w:t>[SALA REGIONAL COMPETENTE]</w:t>
      </w:r>
      <w:r>
        <w:rPr>
          <w:rFonts w:ascii="Arial" w:hAnsi="Arial"/>
          <w:b w:val="0"/>
          <w:i w:val="0"/>
          <w:sz w:val="28"/>
        </w:rPr>
        <w:t xml:space="preserve"> que declare fundado el presente concepto de impugnación; que, con fundamento en los artículos 51, fracción IV, y 52, fracción II, de la Ley Federal de Procedimiento Contencioso Administrativo, declare la nulidad lisa y llana de la resolución contenida en el oficio </w:t>
      </w:r>
      <w:r>
        <w:rPr>
          <w:rFonts w:ascii="Arial" w:hAnsi="Arial"/>
          <w:b/>
          <w:i w:val="0"/>
          <w:sz w:val="28"/>
        </w:rPr>
        <w:t>[NÚMERO Y FECHA DEL OFICIO DETERMINANTE]</w:t>
      </w:r>
      <w:r>
        <w:rPr>
          <w:rFonts w:ascii="Arial" w:hAnsi="Arial"/>
          <w:b w:val="0"/>
          <w:i w:val="0"/>
          <w:sz w:val="28"/>
        </w:rPr>
        <w:t>; y que, como consecuencia de esa declaratoria, se tengan por sin efectos las actuaciones que dieron inicio al procedimiento administrativo en materia aduanera.</w:t>
      </w:r>
    </w:p>
    <w:p>
      <w:pPr>
        <w:spacing w:line="360" w:lineRule="auto"/>
        <w:jc w:val="both"/>
      </w:pPr>
      <w:r>
        <w:rPr>
          <w:rFonts w:ascii="Arial" w:hAnsi="Arial"/>
          <w:b w:val="0"/>
          <w:i w:val="0"/>
          <w:sz w:val="28"/>
        </w:rPr>
        <w:t>Se solicita igualmente que se desestime la causal de improcedencia por consentimiento y extemporaneidad que la autoridad haga valer, por descansar en una notificación que no surtió efecto jurídico alguno, y que se tenga a la parte actora por sabedora de la resolución impugnada en la fecha de presentación de esta demanda. Para el caso de que la autoridad exhiba con su contestación constancias relativas a la notificación, desde ahora se reserva el derecho de ampliar la demanda en el plazo legal y de controvertirlas en sus términos.</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1560.</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FERNÁNDEZ RUIZ, Graciela, </w:t>
      </w:r>
      <w:r>
        <w:rPr>
          <w:rFonts w:ascii="Arial" w:hAnsi="Arial"/>
          <w:i/>
          <w:sz w:val="20"/>
        </w:rPr>
        <w:t>Argumentación y lenguaje jurídico. Aplicación al análisis de una sentencia de la Suprema Corte de Justicia de la Nación</w:t>
      </w:r>
      <w:r>
        <w:rPr>
          <w:rFonts w:ascii="Arial" w:hAnsi="Arial"/>
          <w:i w:val="0"/>
          <w:sz w:val="20"/>
        </w:rPr>
        <w:t>, 2ª ed., Universidad Nacional Autónoma de México, Instituto de Investigaciones Jurídicas, México, 2017, p. 71.</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153.</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1143.</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73.</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GARCÍA DAMBORENEA, op. cit.</w:t>
      </w:r>
      <w:r>
        <w:rPr>
          <w:rFonts w:ascii="Arial" w:hAnsi="Arial"/>
          <w:i w:val="0"/>
          <w:sz w:val="20"/>
        </w:rPr>
        <w:t>, p. 76.</w:t>
      </w:r>
    </w:p>
    <w:p/>
    <w:p>
      <w:r>
        <w:rPr>
          <w:rFonts w:ascii="Arial" w:hAnsi="Arial"/>
          <w:b/>
          <w:sz w:val="22"/>
        </w:rPr>
        <w:t>BIBLIOGRAFÍA</w:t>
      </w:r>
    </w:p>
    <w:p>
      <w:pPr>
        <w:spacing w:after="60"/>
        <w:ind w:left="360" w:hanging="360"/>
        <w:jc w:val="both"/>
      </w:pPr>
      <w:r>
        <w:rPr>
          <w:rFonts w:ascii="Arial" w:hAnsi="Arial"/>
          <w:i w:val="0"/>
          <w:sz w:val="20"/>
        </w:rPr>
        <w:t xml:space="preserve">FERNÁNDEZ RUIZ, Graciela, </w:t>
      </w:r>
      <w:r>
        <w:rPr>
          <w:rFonts w:ascii="Arial" w:hAnsi="Arial"/>
          <w:i/>
          <w:sz w:val="20"/>
        </w:rPr>
        <w:t>Argumentación y lenguaje jurídico. Aplicación al análisis de una sentencia de la Suprema Corte de Justicia de la Nación</w:t>
      </w:r>
      <w:r>
        <w:rPr>
          <w:rFonts w:ascii="Arial" w:hAnsi="Arial"/>
          <w:i w:val="0"/>
          <w:sz w:val="20"/>
        </w:rPr>
        <w:t>, 2ª ed., Universidad Nacional Autónoma de México, Instituto de Investigaciones Jurídicas, México, 2017.</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