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ACTA DE INICIO DE VISITA SIN EL FUNDAMENTO QUE AUTORIZA A LOS VISITADORES</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y, antes de llenar un solo campo, consigue copia certificada o legible del acta parcial de inicio de la visita y localiza la parte en que los visitadores se identificaron. Revisa si en ese pasaje se cita el artículo 43, fracción II, del Código Fiscal de la Federación o algún otro precepto que los acredite como personal autorizado para practicar visitas domiciliarias. Si aparece, este concepto no te sirve; si no aparece, el machote está hecho para tu caso.</w:t>
      </w:r>
    </w:p>
    <w:p>
      <w:pPr>
        <w:spacing w:line="360" w:lineRule="auto"/>
        <w:jc w:val="both"/>
      </w:pPr>
      <w:r>
        <w:rPr>
          <w:rFonts w:ascii="Arial" w:hAnsi="Arial"/>
          <w:b w:val="0"/>
          <w:i w:val="0"/>
          <w:sz w:val="24"/>
        </w:rPr>
        <w:t>Después llena los campos editables, copia los preceptos que sí asentaron los visitadores y elimina lo que no corresponda, por ejemplo el párrafo de litis abierta si no interpusiste recurso de revocación. Ofrece como prueba el expediente administrativo o, al menos, el acta parcial de inicio y la orden de visita. Recuerda que la demanda de nulidad se presenta dentro de los treinta días siguientes a aquél en que surta efectos la notificación de la resolución impugnada en la vía ordinaria (artículo 13, fracción I, de la Ley Federal de Procedimiento Contencioso Administrativo); si por su cuantía el asunto va por la vía sumaria, el plazo también es de treinta días (artículo 58-2, párrafo tercero).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 SEGUNDO…); si quieres que se estudie primero, colócalo al inicio de los conceptos.</w:t>
      </w:r>
    </w:p>
    <w:p>
      <w:pPr>
        <w:spacing w:line="360" w:lineRule="auto"/>
        <w:jc w:val="both"/>
      </w:pPr>
      <w:r>
        <w:rPr>
          <w:rFonts w:ascii="Arial" w:hAnsi="Arial"/>
          <w:b/>
          <w:i w:val="0"/>
          <w:sz w:val="24"/>
        </w:rPr>
        <w:t>[FECHA DEL ACTA PARCIAL DE INICIO]</w:t>
      </w:r>
      <w:r>
        <w:rPr>
          <w:rFonts w:ascii="Arial" w:hAnsi="Arial"/>
          <w:b w:val="0"/>
          <w:i w:val="0"/>
          <w:sz w:val="24"/>
        </w:rPr>
        <w:t>: la fecha del acta en que los visitadores se constituyeron en el domicilio, se identificaron y entregaron la orden.</w:t>
      </w:r>
    </w:p>
    <w:p>
      <w:pPr>
        <w:spacing w:line="360" w:lineRule="auto"/>
        <w:jc w:val="both"/>
      </w:pPr>
      <w:r>
        <w:rPr>
          <w:rFonts w:ascii="Arial" w:hAnsi="Arial"/>
          <w:b/>
          <w:i w:val="0"/>
          <w:sz w:val="24"/>
        </w:rPr>
        <w:t>[NÚMERO Y FECHA DE LA ORDEN DE VISITA]</w:t>
      </w:r>
      <w:r>
        <w:rPr>
          <w:rFonts w:ascii="Arial" w:hAnsi="Arial"/>
          <w:b w:val="0"/>
          <w:i w:val="0"/>
          <w:sz w:val="24"/>
        </w:rPr>
        <w:t>: el número de oficio y la fecha de la orden de visita domiciliaria.</w:t>
      </w:r>
    </w:p>
    <w:p>
      <w:pPr>
        <w:spacing w:line="360" w:lineRule="auto"/>
        <w:jc w:val="both"/>
      </w:pPr>
      <w:r>
        <w:rPr>
          <w:rFonts w:ascii="Arial" w:hAnsi="Arial"/>
          <w:b/>
          <w:i w:val="0"/>
          <w:sz w:val="24"/>
        </w:rPr>
        <w:t>[AUTORIDAD FISCALIZADORA]</w:t>
      </w:r>
      <w:r>
        <w:rPr>
          <w:rFonts w:ascii="Arial" w:hAnsi="Arial"/>
          <w:b w:val="0"/>
          <w:i w:val="0"/>
          <w:sz w:val="24"/>
        </w:rPr>
        <w:t>: la unidad administrativa que emitió la orden y la liquidación, con su denominación completa, por ejemplo la Administración Desconcentrada de Auditoría Fiscal que corresponda.</w:t>
      </w:r>
    </w:p>
    <w:p>
      <w:pPr>
        <w:spacing w:line="360" w:lineRule="auto"/>
        <w:jc w:val="both"/>
      </w:pPr>
      <w:r>
        <w:rPr>
          <w:rFonts w:ascii="Arial" w:hAnsi="Arial"/>
          <w:b/>
          <w:i w:val="0"/>
          <w:sz w:val="24"/>
        </w:rPr>
        <w:t>[NÚMERO Y FECHA DE LA RESOLUCIÓN DEL RECURSO DE REVOCACIÓN]</w:t>
      </w:r>
      <w:r>
        <w:rPr>
          <w:rFonts w:ascii="Arial" w:hAnsi="Arial"/>
          <w:b w:val="0"/>
          <w:i w:val="0"/>
          <w:sz w:val="24"/>
        </w:rPr>
        <w:t>: el oficio que resolvió el recurso; si no interpusiste recurso, elimina las referencias a esta resolución y al párrafo de litis abierta.</w:t>
      </w:r>
    </w:p>
    <w:p>
      <w:pPr>
        <w:spacing w:line="360" w:lineRule="auto"/>
        <w:jc w:val="both"/>
      </w:pPr>
      <w:r>
        <w:rPr>
          <w:rFonts w:ascii="Arial" w:hAnsi="Arial"/>
          <w:b/>
          <w:i w:val="0"/>
          <w:sz w:val="24"/>
        </w:rPr>
        <w:t>[AUTORIDAD DEMANDADA]</w:t>
      </w:r>
      <w:r>
        <w:rPr>
          <w:rFonts w:ascii="Arial" w:hAnsi="Arial"/>
          <w:b w:val="0"/>
          <w:i w:val="0"/>
          <w:sz w:val="24"/>
        </w:rPr>
        <w:t>: la autoridad que resolvió el recurso de revocación, con su denominación completa.</w:t>
      </w:r>
    </w:p>
    <w:p>
      <w:pPr>
        <w:spacing w:line="360" w:lineRule="auto"/>
        <w:jc w:val="both"/>
      </w:pPr>
      <w:r>
        <w:rPr>
          <w:rFonts w:ascii="Arial" w:hAnsi="Arial"/>
          <w:b/>
          <w:i w:val="0"/>
          <w:sz w:val="24"/>
        </w:rPr>
        <w:t>[NOMBRE O DENOMINACIÓN DE LA PARTE ACTORA]</w:t>
      </w:r>
      <w:r>
        <w:rPr>
          <w:rFonts w:ascii="Arial" w:hAnsi="Arial"/>
          <w:b w:val="0"/>
          <w:i w:val="0"/>
          <w:sz w:val="24"/>
        </w:rPr>
        <w:t>: el nombre de la persona física o la denominación de la persona moral visitada.</w:t>
      </w:r>
    </w:p>
    <w:p>
      <w:pPr>
        <w:spacing w:line="360" w:lineRule="auto"/>
        <w:jc w:val="both"/>
      </w:pPr>
      <w:r>
        <w:rPr>
          <w:rFonts w:ascii="Arial" w:hAnsi="Arial"/>
          <w:b/>
          <w:i w:val="0"/>
          <w:sz w:val="24"/>
        </w:rPr>
        <w:t>[NÚMERO Y FECHA DE LA RESOLUCIÓN DETERMINANTE]</w:t>
      </w:r>
      <w:r>
        <w:rPr>
          <w:rFonts w:ascii="Arial" w:hAnsi="Arial"/>
          <w:b w:val="0"/>
          <w:i w:val="0"/>
          <w:sz w:val="24"/>
        </w:rPr>
        <w:t>: el oficio de la liquidación que determinó el crédito fiscal.</w:t>
      </w:r>
    </w:p>
    <w:p>
      <w:pPr>
        <w:spacing w:line="360" w:lineRule="auto"/>
        <w:jc w:val="both"/>
      </w:pPr>
      <w:r>
        <w:rPr>
          <w:rFonts w:ascii="Arial" w:hAnsi="Arial"/>
          <w:b/>
          <w:i w:val="0"/>
          <w:sz w:val="24"/>
        </w:rPr>
        <w:t>[CONTRIBUCIONES Y ACCESORIOS DETERMINADOS]</w:t>
      </w:r>
      <w:r>
        <w:rPr>
          <w:rFonts w:ascii="Arial" w:hAnsi="Arial"/>
          <w:b w:val="0"/>
          <w:i w:val="0"/>
          <w:sz w:val="24"/>
        </w:rPr>
        <w:t>: los impuestos, recargos, multas y, en su caso, el reparto de utilidades que determinó la autoridad.</w:t>
      </w:r>
    </w:p>
    <w:p>
      <w:pPr>
        <w:spacing w:line="360" w:lineRule="auto"/>
        <w:jc w:val="both"/>
      </w:pPr>
      <w:r>
        <w:rPr>
          <w:rFonts w:ascii="Arial" w:hAnsi="Arial"/>
          <w:b/>
          <w:i w:val="0"/>
          <w:sz w:val="24"/>
        </w:rPr>
        <w:t>[EJERCICIO FISCAL REVISADO]</w:t>
      </w:r>
      <w:r>
        <w:rPr>
          <w:rFonts w:ascii="Arial" w:hAnsi="Arial"/>
          <w:b w:val="0"/>
          <w:i w:val="0"/>
          <w:sz w:val="24"/>
        </w:rPr>
        <w:t>: el ejercicio o periodo que abarcó la visita.</w:t>
      </w:r>
    </w:p>
    <w:p>
      <w:pPr>
        <w:spacing w:line="360" w:lineRule="auto"/>
        <w:jc w:val="both"/>
      </w:pPr>
      <w:r>
        <w:rPr>
          <w:rFonts w:ascii="Arial" w:hAnsi="Arial"/>
          <w:b/>
          <w:i w:val="0"/>
          <w:sz w:val="24"/>
        </w:rPr>
        <w:t>[MONTO DEL CRÉDITO FISCAL]</w:t>
      </w:r>
      <w:r>
        <w:rPr>
          <w:rFonts w:ascii="Arial" w:hAnsi="Arial"/>
          <w:b w:val="0"/>
          <w:i w:val="0"/>
          <w:sz w:val="24"/>
        </w:rPr>
        <w:t>: la cantidad total determinada, con número y letra.</w:t>
      </w:r>
    </w:p>
    <w:p>
      <w:pPr>
        <w:spacing w:line="360" w:lineRule="auto"/>
        <w:jc w:val="both"/>
      </w:pPr>
      <w:r>
        <w:rPr>
          <w:rFonts w:ascii="Arial" w:hAnsi="Arial"/>
          <w:b/>
          <w:i w:val="0"/>
          <w:sz w:val="24"/>
        </w:rPr>
        <w:t>[FOLIOS DEL ACTA PARCIAL DE INICIO]</w:t>
      </w:r>
      <w:r>
        <w:rPr>
          <w:rFonts w:ascii="Arial" w:hAnsi="Arial"/>
          <w:b w:val="0"/>
          <w:i w:val="0"/>
          <w:sz w:val="24"/>
        </w:rPr>
        <w:t>: los folios exactos del acta donde consta la identificación de los visitadores; es la parte que la Sala va a cotejar.</w:t>
      </w:r>
    </w:p>
    <w:p>
      <w:pPr>
        <w:spacing w:line="360" w:lineRule="auto"/>
        <w:jc w:val="both"/>
      </w:pPr>
      <w:r>
        <w:rPr>
          <w:rFonts w:ascii="Arial" w:hAnsi="Arial"/>
          <w:b/>
          <w:i w:val="0"/>
          <w:sz w:val="24"/>
        </w:rPr>
        <w:t>[PRECEPTOS ASENTADOS EN EL ACTA PARA LA IDENTIFICACIÓN]</w:t>
      </w:r>
      <w:r>
        <w:rPr>
          <w:rFonts w:ascii="Arial" w:hAnsi="Arial"/>
          <w:b w:val="0"/>
          <w:i w:val="0"/>
          <w:sz w:val="24"/>
        </w:rPr>
        <w:t>: cópialos tal como aparecen en el acta (por lo general, artículos de la Ley del Servicio de Administración Tributaria y de su Reglamento Interior que sustentan la expedición de las constancias); confirma que entre ellos no está el artículo 43, fracción II, del Código Fiscal de la Federación.</w:t>
      </w:r>
    </w:p>
    <w:p/>
    <w:p>
      <w:pPr>
        <w:spacing w:line="360" w:lineRule="auto"/>
        <w:jc w:val="both"/>
      </w:pPr>
      <w:r>
        <w:rPr>
          <w:rFonts w:ascii="Arial" w:hAnsi="Arial"/>
          <w:b/>
          <w:sz w:val="28"/>
        </w:rPr>
        <w:t>[NÚMERO ORDINAL DEL CONCEPTO] CONCEPTO DE IMPUGNACIÓN. Omisión de asentar en el acta parcial de inicio de la visita domiciliaria el fundamento jurídico que acredita a los visitadores como personal autorizado para practicarla, en contravención del artículo 49, fracción III, del Reglamento del Código Fiscal de la Federación, en relación con los artículos 43, fracción II, y 44, fracción III, del Código Fiscal de la Federación; el vicio, cometido al iniciar la visita, trasciende a la liquidación y actualiza la causal del artículo 51, fracción II,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el acta parcial de inicio de fecha </w:t>
      </w:r>
      <w:r>
        <w:rPr>
          <w:rFonts w:ascii="Arial" w:hAnsi="Arial"/>
          <w:b/>
          <w:i w:val="0"/>
          <w:sz w:val="28"/>
        </w:rPr>
        <w:t>[FECHA DEL ACTA PARCIAL DE INICIO]</w:t>
      </w:r>
      <w:r>
        <w:rPr>
          <w:rFonts w:ascii="Arial" w:hAnsi="Arial"/>
          <w:b w:val="0"/>
          <w:i w:val="0"/>
          <w:sz w:val="28"/>
        </w:rPr>
        <w:t xml:space="preserve">, levantada en cumplimiento de la orden de visita domiciliaria </w:t>
      </w:r>
      <w:r>
        <w:rPr>
          <w:rFonts w:ascii="Arial" w:hAnsi="Arial"/>
          <w:b/>
          <w:i w:val="0"/>
          <w:sz w:val="28"/>
        </w:rPr>
        <w:t>[NÚMERO Y FECHA DE LA ORDEN DE VISITA]</w:t>
      </w:r>
      <w:r>
        <w:rPr>
          <w:rFonts w:ascii="Arial" w:hAnsi="Arial"/>
          <w:b w:val="0"/>
          <w:i w:val="0"/>
          <w:sz w:val="28"/>
        </w:rPr>
        <w:t xml:space="preserve"> emitida por la </w:t>
      </w:r>
      <w:r>
        <w:rPr>
          <w:rFonts w:ascii="Arial" w:hAnsi="Arial"/>
          <w:b/>
          <w:i w:val="0"/>
          <w:sz w:val="28"/>
        </w:rPr>
        <w:t>[AUTORIDAD FISCALIZADORA]</w:t>
      </w:r>
      <w:r>
        <w:rPr>
          <w:rFonts w:ascii="Arial" w:hAnsi="Arial"/>
          <w:b w:val="0"/>
          <w:i w:val="0"/>
          <w:sz w:val="28"/>
        </w:rPr>
        <w:t>, no contiene el fundamento jurídico que acredite a quienes la practicaron como personal autorizado para realizar visitas domiciliarias, requisito que el artículo 49, fracción III, del Reglamento del Código Fiscal de la Federación impone a las actas en que se hace constar la identificación ordenada por el artículo 44, fracción III, del propio Código.</w:t>
      </w:r>
    </w:p>
    <w:p>
      <w:pPr>
        <w:spacing w:line="360" w:lineRule="auto"/>
        <w:jc w:val="both"/>
      </w:pPr>
      <w:r>
        <w:rPr>
          <w:rFonts w:ascii="Arial" w:hAnsi="Arial"/>
          <w:b w:val="0"/>
          <w:i w:val="0"/>
          <w:sz w:val="28"/>
        </w:rPr>
        <w:t>La demostración descansa en una premisa normativa de verificación puramente documental: el deber reglamentario tiene por destinataria el acta y no la orden de visita, de modo que la cita del artículo 43, fracción II, del Código Fiscal de la Federación en la orden no suple su ausencia en el acta de inicio, que es el documento que registra la intromisión misma en el domicilio de la persona visitada y la identificación de quienes la ejecutan.</w:t>
      </w:r>
    </w:p>
    <w:p>
      <w:pPr>
        <w:spacing w:line="360" w:lineRule="auto"/>
        <w:jc w:val="both"/>
      </w:pPr>
      <w:r>
        <w:rPr>
          <w:rFonts w:ascii="Arial" w:hAnsi="Arial"/>
          <w:b w:val="0"/>
          <w:i w:val="0"/>
          <w:sz w:val="28"/>
        </w:rPr>
        <w:t>Como esa acta es el primer acto de ejecución de la visita y el presupuesto de todas las actuaciones posteriores, la omisión afectó las defensas de la parte actora y trascendió al sentido de la resolución determinante del crédito fiscal y de la que resolvió el recurso de revocación, por lo que se actualiza la causal de ilegalidad del artículo 51, fracción II, de la Ley Federal de Procedimiento Contencioso Administrativo y procede declarar la nulidad lisa y llana de ambas, en términos del artículo 52, fracción II, del mismo ordenamiento.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Se controvierte la resolución </w:t>
      </w:r>
      <w:r>
        <w:rPr>
          <w:rFonts w:ascii="Arial" w:hAnsi="Arial"/>
          <w:b/>
          <w:i w:val="0"/>
          <w:sz w:val="28"/>
        </w:rPr>
        <w:t>[NÚMERO Y FECHA DE LA RESOLUCIÓN DEL RECURSO DE REVOCACIÓN]</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al resolver el recurso de revocación interpuesto por </w:t>
      </w:r>
      <w:r>
        <w:rPr>
          <w:rFonts w:ascii="Arial" w:hAnsi="Arial"/>
          <w:b/>
          <w:i w:val="0"/>
          <w:sz w:val="28"/>
        </w:rPr>
        <w:t>[NOMBRE O DENOMINACIÓN DE LA PARTE ACTORA]</w:t>
      </w:r>
      <w:r>
        <w:rPr>
          <w:rFonts w:ascii="Arial" w:hAnsi="Arial"/>
          <w:b w:val="0"/>
          <w:i w:val="0"/>
          <w:sz w:val="28"/>
        </w:rPr>
        <w:t xml:space="preserve">, y, de manera simultánea, la resolución </w:t>
      </w:r>
      <w:r>
        <w:rPr>
          <w:rFonts w:ascii="Arial" w:hAnsi="Arial"/>
          <w:b/>
          <w:i w:val="0"/>
          <w:sz w:val="28"/>
        </w:rPr>
        <w:t>[NÚMERO Y FECHA DE LA RESOLUCIÓN DETERMINANTE]</w:t>
      </w:r>
      <w:r>
        <w:rPr>
          <w:rFonts w:ascii="Arial" w:hAnsi="Arial"/>
          <w:b w:val="0"/>
          <w:i w:val="0"/>
          <w:sz w:val="28"/>
        </w:rPr>
        <w:t xml:space="preserve">, por la que la </w:t>
      </w:r>
      <w:r>
        <w:rPr>
          <w:rFonts w:ascii="Arial" w:hAnsi="Arial"/>
          <w:b/>
          <w:i w:val="0"/>
          <w:sz w:val="28"/>
        </w:rPr>
        <w:t>[AUTORIDAD FISCALIZADORA]</w:t>
      </w:r>
      <w:r>
        <w:rPr>
          <w:rFonts w:ascii="Arial" w:hAnsi="Arial"/>
          <w:b w:val="0"/>
          <w:i w:val="0"/>
          <w:sz w:val="28"/>
        </w:rPr>
        <w:t xml:space="preserve"> determinó a su cargo un crédito fiscal por </w:t>
      </w:r>
      <w:r>
        <w:rPr>
          <w:rFonts w:ascii="Arial" w:hAnsi="Arial"/>
          <w:b/>
          <w:i w:val="0"/>
          <w:sz w:val="28"/>
        </w:rPr>
        <w:t>[CONTRIBUCIONES Y ACCESORIOS DETERMINADOS]</w:t>
      </w:r>
      <w:r>
        <w:rPr>
          <w:rFonts w:ascii="Arial" w:hAnsi="Arial"/>
          <w:b w:val="0"/>
          <w:i w:val="0"/>
          <w:sz w:val="28"/>
        </w:rPr>
        <w:t xml:space="preserve"> del ejercicio </w:t>
      </w:r>
      <w:r>
        <w:rPr>
          <w:rFonts w:ascii="Arial" w:hAnsi="Arial"/>
          <w:b/>
          <w:i w:val="0"/>
          <w:sz w:val="28"/>
        </w:rPr>
        <w:t>[EJERCICIO FISCAL REVISADO]</w:t>
      </w:r>
      <w:r>
        <w:rPr>
          <w:rFonts w:ascii="Arial" w:hAnsi="Arial"/>
          <w:b w:val="0"/>
          <w:i w:val="0"/>
          <w:sz w:val="28"/>
        </w:rPr>
        <w:t xml:space="preserve">, en cantidad de </w:t>
      </w:r>
      <w:r>
        <w:rPr>
          <w:rFonts w:ascii="Arial" w:hAnsi="Arial"/>
          <w:b/>
          <w:i w:val="0"/>
          <w:sz w:val="28"/>
        </w:rPr>
        <w:t>[MONTO DEL CRÉDITO FISCAL]</w:t>
      </w:r>
      <w:r>
        <w:rPr>
          <w:rFonts w:ascii="Arial" w:hAnsi="Arial"/>
          <w:b w:val="0"/>
          <w:i w:val="0"/>
          <w:sz w:val="28"/>
        </w:rPr>
        <w:t>, con base en los hechos y omisiones consignados en las actas de la visita domiciliaria.</w:t>
      </w:r>
    </w:p>
    <w:p>
      <w:pPr>
        <w:spacing w:line="360" w:lineRule="auto"/>
        <w:jc w:val="both"/>
      </w:pPr>
      <w:r>
        <w:rPr>
          <w:rFonts w:ascii="Arial" w:hAnsi="Arial"/>
          <w:b w:val="0"/>
          <w:i w:val="0"/>
          <w:sz w:val="28"/>
        </w:rPr>
        <w:t>La impugnación simultánea de la resolución recurrida encuentra apoyo en el artículo 1º, segundo párrafo, de la Ley Federal de Procedimiento Contencioso Administrativo, conforme al cual, cuando la resolución recaída a un recurso administrativo no satisface el interés jurídico de la persona recurrente y ésta la controvierte en el juicio, se entiende que impugna también la resolución recurrida en la parte que continúa afectándola, con la posibilidad de hacer valer conceptos de impugnación no planteados en el recurso; por ello este concepto es procedente aunque el vicio no se hubiera alegado en sede administrativa.</w:t>
      </w:r>
    </w:p>
    <w:p>
      <w:pPr>
        <w:spacing w:line="360" w:lineRule="auto"/>
        <w:jc w:val="both"/>
      </w:pPr>
      <w:r>
        <w:rPr>
          <w:rFonts w:ascii="Arial" w:hAnsi="Arial"/>
          <w:b w:val="0"/>
          <w:i w:val="0"/>
          <w:sz w:val="28"/>
        </w:rPr>
        <w:t>Las normas cuya inobservancia se plantea son el artículo 16 de la Constitución Política de los Estados Unidos Mexicanos, tanto en su primer párrafo como en el que autoriza a la autoridad administrativa a practicar visitas domiciliarias, los artículos 43, fracción II, y 44, fracción III, del Código Fiscal de la Federación y el artículo 49, fracción III, del Reglamento de ese Código.</w:t>
      </w:r>
    </w:p>
    <w:p>
      <w:pPr>
        <w:spacing w:line="360" w:lineRule="auto"/>
        <w:jc w:val="both"/>
      </w:pPr>
      <w:r>
        <w:rPr>
          <w:rFonts w:ascii="Arial" w:hAnsi="Arial"/>
          <w:b w:val="0"/>
          <w:i w:val="0"/>
          <w:sz w:val="28"/>
        </w:rPr>
        <w:t>El planteamiento se circunscribe a la circunstanciación del acta parcial de inicio, en la que los visitadores debieron asentar, al identificarse, el precepto que los acredita como personal autorizado para practicar la visita, y no lo hicieron. La competencia de la autoridad emisora de la orden y la fundamentación de esa orden quedan fuera de este concepto, por lo que cualquier defensa dirigida a demostrar su legalidad resultará ajena a lo aquí planteado.</w:t>
      </w:r>
    </w:p>
    <w:p>
      <w:pPr>
        <w:spacing w:line="360" w:lineRule="auto"/>
        <w:jc w:val="both"/>
      </w:pPr>
      <w:r>
        <w:rPr>
          <w:rFonts w:ascii="Arial" w:hAnsi="Arial"/>
          <w:b w:val="0"/>
          <w:i w:val="0"/>
          <w:sz w:val="28"/>
        </w:rPr>
        <w:t>El perjuicio es directo: la parte actora soportó el ingreso a su domicilio fiscal y la revisión de su contabilidad por personas cuya autorización legal no quedó documentada en el acta que registró la intromisión, y sobre los hechos consignados en esa acta y en las subsecuentes se construyó el crédito fiscal que hoy se le exige. De prosperar este concepto, el beneficio es la nulidad lisa y llana de la liquidación y de la resolución que la dejó subsistente.</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El punto de partida es constitucional: el artículo 16 prohíbe molestar a las personas en su domicilio, papeles o posesiones sino en virtud de mandamiento escrito de autoridad competente que funde y motive la causa legal del procedimiento y, al autorizar a la autoridad administrativa a exigir la exhibición de libros y papeles para comprobar el acatamiento de las disposiciones fiscales, la obliga a sujetarse </w:t>
      </w:r>
      <w:r>
        <w:rPr>
          <w:rFonts w:ascii="Arial" w:hAnsi="Arial"/>
          <w:b w:val="0"/>
          <w:i/>
          <w:sz w:val="28"/>
        </w:rPr>
        <w:t>“a las leyes respectivas y a las formalidades prescritas para los cateos”</w:t>
      </w:r>
      <w:r>
        <w:rPr>
          <w:rFonts w:ascii="Arial" w:hAnsi="Arial"/>
          <w:b w:val="0"/>
          <w:i w:val="0"/>
          <w:sz w:val="28"/>
        </w:rPr>
        <w:t>.</w:t>
      </w:r>
    </w:p>
    <w:p>
      <w:pPr>
        <w:spacing w:line="360" w:lineRule="auto"/>
        <w:jc w:val="both"/>
      </w:pPr>
      <w:r>
        <w:rPr>
          <w:rFonts w:ascii="Arial" w:hAnsi="Arial"/>
          <w:b w:val="0"/>
          <w:i w:val="0"/>
          <w:sz w:val="28"/>
        </w:rPr>
        <w:t>La visita domiciliaria es, así, una intromisión autorizada en el domicilio de la persona contribuyente, cuya validez depende del cumplimiento puntual de las formalidades que la ley y el reglamento le imponen en cada una de sus etapas, desde la orden que la decreta hasta el acta que la concluye.</w:t>
      </w:r>
    </w:p>
    <w:p>
      <w:pPr>
        <w:spacing w:line="360" w:lineRule="auto"/>
        <w:jc w:val="both"/>
      </w:pPr>
      <w:r>
        <w:rPr>
          <w:rFonts w:ascii="Arial" w:hAnsi="Arial"/>
          <w:b w:val="0"/>
          <w:i w:val="0"/>
          <w:sz w:val="28"/>
        </w:rPr>
        <w:t>A esa exigencia se suma el principio de legalidad en su vertiente de derecho público, que la teoría del derecho describe como la regla inversa a la que rige para los particulares, pues los poderes públicos sólo pueden realizar los actos que les están expresamente consentidos, y los que carecen de esa autorización son inválidos.</w:t>
      </w:r>
      <w:r>
        <w:rPr>
          <w:rFonts w:ascii="Arial" w:hAnsi="Arial"/>
          <w:vertAlign w:val="superscript"/>
        </w:rPr>
        <w:t>1</w:t>
      </w:r>
      <w:r>
        <w:rPr>
          <w:rFonts w:ascii="Arial" w:hAnsi="Arial"/>
          <w:b w:val="0"/>
          <w:i w:val="0"/>
          <w:sz w:val="28"/>
        </w:rPr>
        <w:t xml:space="preserve"> Quien ingresa a un domicilio en ejercicio de una facultad de comprobación actúa como órgano del Estado, de modo que su autorización para hacerlo debe poder demostrarse con la norma que se la confiere.</w:t>
      </w:r>
    </w:p>
    <w:p>
      <w:pPr>
        <w:spacing w:line="360" w:lineRule="auto"/>
        <w:jc w:val="both"/>
      </w:pPr>
      <w:r>
        <w:rPr>
          <w:rFonts w:ascii="Arial" w:hAnsi="Arial"/>
          <w:b w:val="0"/>
          <w:i w:val="0"/>
          <w:sz w:val="28"/>
        </w:rPr>
        <w:t>La garantía de fundamentación y motivación, en su aspecto formal, exige además que la constancia documental del acto de molestia exprese con claridad las normas jurídicas y las razones que lo sustentan, para que la persona afectada conozca, en el propio documento, la causa legal de la actuación que soporta.</w:t>
      </w:r>
      <w:r>
        <w:rPr>
          <w:rFonts w:ascii="Arial" w:hAnsi="Arial"/>
          <w:vertAlign w:val="superscript"/>
        </w:rPr>
        <w:t>2</w:t>
      </w:r>
      <w:r>
        <w:rPr>
          <w:rFonts w:ascii="Arial" w:hAnsi="Arial"/>
          <w:b w:val="0"/>
          <w:i w:val="0"/>
          <w:sz w:val="28"/>
        </w:rPr>
        <w:t xml:space="preserve"> En la visita coexisten dos constancias con funciones distintas: la orden documenta la decisión de visitar y designa a quienes la practicarán, y el acta parcial de inicio documenta la ejecución de esa decisión y la identificación de los visitadores ante quien atiende la diligencia.</w:t>
      </w:r>
    </w:p>
    <w:p>
      <w:pPr>
        <w:spacing w:line="360" w:lineRule="auto"/>
        <w:jc w:val="both"/>
      </w:pPr>
      <w:r>
        <w:rPr>
          <w:rFonts w:ascii="Arial" w:hAnsi="Arial"/>
          <w:b w:val="0"/>
          <w:i w:val="0"/>
          <w:sz w:val="28"/>
        </w:rPr>
        <w:t>La ley y su reglamento distribuyeron los requisitos de cada documento con esa lógica. El artículo 43, fracción II, del Código Fiscal de la Federación dispone que en la orden de visita se indique el nombre de la persona o personas que deban efectuarla, quienes podrán ser sustituidas, aumentadas o reducidas en su número y actuar conjunta o separadamente; es la norma que convierte a un servidor público en visitador de una visita determinada. El artículo 44, fracción III, ordena a su vez que, al iniciarse la visita, los visitadores se identifiquen ante la persona con quien se entienda la diligencia.</w:t>
      </w:r>
    </w:p>
    <w:p>
      <w:pPr>
        <w:spacing w:line="360" w:lineRule="auto"/>
        <w:jc w:val="both"/>
      </w:pPr>
      <w:r>
        <w:rPr>
          <w:rFonts w:ascii="Arial" w:hAnsi="Arial"/>
          <w:b w:val="0"/>
          <w:i w:val="0"/>
          <w:sz w:val="28"/>
        </w:rPr>
        <w:t xml:space="preserve">El artículo 49 del Reglamento de ese Código precisa lo que debe señalarse </w:t>
      </w:r>
      <w:r>
        <w:rPr>
          <w:rFonts w:ascii="Arial" w:hAnsi="Arial"/>
          <w:b w:val="0"/>
          <w:i/>
          <w:sz w:val="28"/>
        </w:rPr>
        <w:t>“en las actas que se levanten”</w:t>
      </w:r>
      <w:r>
        <w:rPr>
          <w:rFonts w:ascii="Arial" w:hAnsi="Arial"/>
          <w:b w:val="0"/>
          <w:i w:val="0"/>
          <w:sz w:val="28"/>
        </w:rPr>
        <w:t xml:space="preserve"> para hacer constar que los visitadores se identificaron. La fracción I pide el nombre de quien practica la visita y el número, la vigencia y la fecha de expedición de sus credenciales o constancias; la fracción II, el nombre y cargo del funcionario que las emite y el fundamento para su expedición; la fracción III, </w:t>
      </w:r>
      <w:r>
        <w:rPr>
          <w:rFonts w:ascii="Arial" w:hAnsi="Arial"/>
          <w:b w:val="0"/>
          <w:i/>
          <w:sz w:val="28"/>
        </w:rPr>
        <w:t>“El fundamento jurídico que lo acredite como personal autorizado para practicar visitas domiciliarias”</w:t>
      </w:r>
      <w:r>
        <w:rPr>
          <w:rFonts w:ascii="Arial" w:hAnsi="Arial"/>
          <w:b w:val="0"/>
          <w:i w:val="0"/>
          <w:sz w:val="28"/>
        </w:rPr>
        <w:t>; y la fracción IV, que el documento contenga fotografía y firma de quien practica la visita.</w:t>
      </w:r>
    </w:p>
    <w:p>
      <w:pPr>
        <w:spacing w:line="360" w:lineRule="auto"/>
        <w:jc w:val="both"/>
      </w:pPr>
      <w:r>
        <w:rPr>
          <w:rFonts w:ascii="Arial" w:hAnsi="Arial"/>
          <w:b w:val="0"/>
          <w:i w:val="0"/>
          <w:sz w:val="28"/>
        </w:rPr>
        <w:t>Del texto derivan dos consecuencias. La primera consiste en que la destinataria del deber es el acta, pues el precepto regula lo que debe constar en el documento que registra la identificación, y ésta ocurre al iniciarse la visita, en el domicilio y ante la persona con quien se entiende la diligencia. La segunda consiste en que el fundamento exigido por la fracción III es distinto del exigido por la fracción II, porque éste se refiere a la facultad del funcionario para expedir las constancias de identificación y aquél a la norma que habilita a la persona identificada para practicar visitas domiciliarias.</w:t>
      </w:r>
    </w:p>
    <w:p>
      <w:pPr>
        <w:spacing w:line="360" w:lineRule="auto"/>
        <w:jc w:val="both"/>
      </w:pPr>
      <w:r>
        <w:rPr>
          <w:rFonts w:ascii="Arial" w:hAnsi="Arial"/>
          <w:b w:val="0"/>
          <w:i w:val="0"/>
          <w:sz w:val="28"/>
        </w:rPr>
        <w:t>Esa distinción se impone por el argumento de la no redundancia, conforme al cual cada disposición normativa debe tener una incidencia autónoma y un significado propio, de modo que ha de rechazarse la interpretación que la convierte en mera repetición de lo que establece otra.</w:t>
      </w:r>
      <w:r>
        <w:rPr>
          <w:rFonts w:ascii="Arial" w:hAnsi="Arial"/>
          <w:vertAlign w:val="superscript"/>
        </w:rPr>
        <w:t>3</w:t>
      </w:r>
      <w:r>
        <w:rPr>
          <w:rFonts w:ascii="Arial" w:hAnsi="Arial"/>
          <w:b w:val="0"/>
          <w:i w:val="0"/>
          <w:sz w:val="28"/>
        </w:rPr>
        <w:t xml:space="preserve"> Si la fracción III quedara satisfecha con los preceptos que sustentan la expedición de las constancias, repetiría a la fracción II y carecería de contenido propio; y si bastara la cita del artículo 43, fracción II, en la orden, el reglamento habría impuesto al acta un requisito que en realidad se cumple en otro documento.</w:t>
      </w:r>
    </w:p>
    <w:p>
      <w:pPr>
        <w:spacing w:line="360" w:lineRule="auto"/>
        <w:jc w:val="both"/>
      </w:pPr>
      <w:r>
        <w:rPr>
          <w:rFonts w:ascii="Arial" w:hAnsi="Arial"/>
          <w:b w:val="0"/>
          <w:i w:val="0"/>
          <w:sz w:val="28"/>
        </w:rPr>
        <w:t>El fundamento que la fracción III ordena asentar en el acta es, como lo reconoció una Sala Regional de este Tribunal al resolver un caso análogo, el artículo 43, fracción II, del Código Fiscal de la Federación, en relación con los preceptos del Reglamento Interior del Servicio de Administración Tributaria que prevén al personal de la unidad fiscalizadora, pues es la norma que determina quiénes deben efectuar la visita. Es el mismo precepto que la autoridad invoca en la orden como fuente de la designación de sus visitadores; el reglamento le exige, además, que esa invocación conste en el acta de inicio.</w:t>
      </w:r>
    </w:p>
    <w:p>
      <w:pPr>
        <w:spacing w:line="360" w:lineRule="auto"/>
        <w:jc w:val="both"/>
      </w:pPr>
      <w:r>
        <w:rPr>
          <w:rFonts w:ascii="Arial" w:hAnsi="Arial"/>
          <w:b w:val="0"/>
          <w:i w:val="0"/>
          <w:sz w:val="28"/>
        </w:rPr>
        <w:t>Para medir la consecuencia de la omisión conviene recordar que la doctrina del juicio de amparo describe el procedimiento como una sucesión de actos ligados por un nexo de causalidad, en la que cada uno es consecuencia del anterior y presupuesto del siguiente, de manera que la ilegalidad de uno produce, por regla general, la insubsistencia de los posteriores, salvo que éstos gocen de autonomía frente a sus antecesores.</w:t>
      </w:r>
      <w:r>
        <w:rPr>
          <w:rFonts w:ascii="Arial" w:hAnsi="Arial"/>
          <w:vertAlign w:val="superscript"/>
        </w:rPr>
        <w:t>4</w:t>
      </w:r>
      <w:r>
        <w:rPr>
          <w:rFonts w:ascii="Arial" w:hAnsi="Arial"/>
          <w:b w:val="0"/>
          <w:i w:val="0"/>
          <w:sz w:val="28"/>
        </w:rPr>
        <w:t xml:space="preserve"> En la visita domiciliaria, el acta parcial de inicio es el primer eslabón de esa cadena, pues en ella constan la constitución de los visitadores en el domicilio, su identificación y la entrega de la orden.</w:t>
      </w:r>
    </w:p>
    <w:p>
      <w:pPr>
        <w:spacing w:line="360" w:lineRule="auto"/>
        <w:jc w:val="both"/>
      </w:pPr>
      <w:r>
        <w:rPr>
          <w:rFonts w:ascii="Arial" w:hAnsi="Arial"/>
          <w:b w:val="0"/>
          <w:i w:val="0"/>
          <w:sz w:val="28"/>
        </w:rPr>
        <w:t>El artículo 51, fracción II, de la Ley Federal de Procedimiento Contencioso Administrativo sanciona con la ilegalidad la omisión de los requisitos formales exigidos por las leyes, siempre que afecte las defensas de la persona particular y trascienda al sentido de la resolución impugnada, inclusive la ausencia de fundamentación. El párrafo que sigue a la fracción V enumera vicios que el legislador tuvo por no invalidantes, relativos a citatorios, notificaciones, requerimientos desahogados, compulsas y pruebas no idóneas; la omisión aquí combatida es de otra naturaleza y no figura entre ellos.</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En el acta parcial de inicio de </w:t>
      </w:r>
      <w:r>
        <w:rPr>
          <w:rFonts w:ascii="Arial" w:hAnsi="Arial"/>
          <w:b/>
          <w:i w:val="0"/>
          <w:sz w:val="28"/>
        </w:rPr>
        <w:t>[FECHA DEL ACTA PARCIAL DE INICIO]</w:t>
      </w:r>
      <w:r>
        <w:rPr>
          <w:rFonts w:ascii="Arial" w:hAnsi="Arial"/>
          <w:b w:val="0"/>
          <w:i w:val="0"/>
          <w:sz w:val="28"/>
        </w:rPr>
        <w:t xml:space="preserve">, en la parte relativa a la identificación de los visitadores, visible a </w:t>
      </w:r>
      <w:r>
        <w:rPr>
          <w:rFonts w:ascii="Arial" w:hAnsi="Arial"/>
          <w:b/>
          <w:i w:val="0"/>
          <w:sz w:val="28"/>
        </w:rPr>
        <w:t>[FOLIOS DEL ACTA PARCIAL DE INICIO]</w:t>
      </w:r>
      <w:r>
        <w:rPr>
          <w:rFonts w:ascii="Arial" w:hAnsi="Arial"/>
          <w:b w:val="0"/>
          <w:i w:val="0"/>
          <w:sz w:val="28"/>
        </w:rPr>
        <w:t xml:space="preserve">, se asentó que quienes actuaban estaban adscritos a la </w:t>
      </w:r>
      <w:r>
        <w:rPr>
          <w:rFonts w:ascii="Arial" w:hAnsi="Arial"/>
          <w:b/>
          <w:i w:val="0"/>
          <w:sz w:val="28"/>
        </w:rPr>
        <w:t>[AUTORIDAD FISCALIZADORA]</w:t>
      </w:r>
      <w:r>
        <w:rPr>
          <w:rFonts w:ascii="Arial" w:hAnsi="Arial"/>
          <w:b w:val="0"/>
          <w:i w:val="0"/>
          <w:sz w:val="28"/>
        </w:rPr>
        <w:t xml:space="preserve">; se describieron sus constancias, con número de oficio, registro federal de contribuyentes, puesto, fecha de expedición y vigencia; se señaló al funcionario que las expidió y los preceptos en que se apoyó para hacerlo, </w:t>
      </w:r>
      <w:r>
        <w:rPr>
          <w:rFonts w:ascii="Arial" w:hAnsi="Arial"/>
          <w:b/>
          <w:i w:val="0"/>
          <w:sz w:val="28"/>
        </w:rPr>
        <w:t>[PRECEPTOS ASENTADOS EN EL ACTA PARA LA IDENTIFICACIÓN]</w:t>
      </w:r>
      <w:r>
        <w:rPr>
          <w:rFonts w:ascii="Arial" w:hAnsi="Arial"/>
          <w:b w:val="0"/>
          <w:i w:val="0"/>
          <w:sz w:val="28"/>
        </w:rPr>
        <w:t>; y se hizo constar que los documentos contenían fotografía y firma de sus portadores.</w:t>
      </w:r>
    </w:p>
    <w:p>
      <w:pPr>
        <w:spacing w:line="360" w:lineRule="auto"/>
        <w:jc w:val="both"/>
      </w:pPr>
      <w:r>
        <w:rPr>
          <w:rFonts w:ascii="Arial" w:hAnsi="Arial"/>
          <w:b w:val="0"/>
          <w:i w:val="0"/>
          <w:sz w:val="28"/>
        </w:rPr>
        <w:t>Esa relación satisface, a lo sumo, las fracciones I, II y IV del artículo 49 del Reglamento. En ningún pasaje del acta se asentó el fundamento jurídico que acredita a los visitadores como personal autorizado para practicar visitas domiciliarias, y en particular no se citó el artículo 43, fracción II, del Código Fiscal de la Federación. Los preceptos que sí aparecen sustentan la facultad del funcionario para expedir las constancias o la organización administrativa de la unidad fiscalizadora, y ninguno de ellos confiere a las personas identificadas la autorización para practicar la visita.</w:t>
      </w:r>
    </w:p>
    <w:p>
      <w:pPr>
        <w:spacing w:line="360" w:lineRule="auto"/>
        <w:jc w:val="both"/>
      </w:pPr>
      <w:r>
        <w:rPr>
          <w:rFonts w:ascii="Arial" w:hAnsi="Arial"/>
          <w:b w:val="0"/>
          <w:i w:val="0"/>
          <w:sz w:val="28"/>
        </w:rPr>
        <w:t>La omisión afectó las defensas de la parte actora, porque el acta de inicio es el documento que la persona visitada conserva y con el que puede verificar, en el momento mismo de la intromisión, a qué título jurídico ingresan a su domicilio y le exigen libros y papeles quienes se presentan como visitadores; al faltar el fundamento de su autorización, la persona con quien se entendió la diligencia quedó sin elementos para constatar la legalidad de la actuación y oponerse a ella, que es precisamente lo que la formalidad reglamentaria busca garantizar.</w:t>
      </w:r>
    </w:p>
    <w:p>
      <w:pPr>
        <w:spacing w:line="360" w:lineRule="auto"/>
        <w:jc w:val="both"/>
      </w:pPr>
      <w:r>
        <w:rPr>
          <w:rFonts w:ascii="Arial" w:hAnsi="Arial"/>
          <w:b w:val="0"/>
          <w:i w:val="0"/>
          <w:sz w:val="28"/>
        </w:rPr>
        <w:t>La omisión trascendió, además, al sentido de la resolución determinante, pues el crédito fiscal se sustenta en los hechos y omisiones consignados en las actas de la visita, y todas ellas descansan en el acta de inicio sin gozar de autonomía frente a ésta, porque la existencia jurídica de la visita comienza con su inicio válido. Si el primer acto de ejecución es ilegal, las actuaciones que de él derivan y la liquidación que las toma como sustento comparten su vicio, y lo mismo ocurre con la resolución del recurso de revocación en la parte en que dejó subsistente la afectación a la parte actora.</w:t>
      </w:r>
    </w:p>
    <w:p>
      <w:pPr>
        <w:spacing w:line="360" w:lineRule="auto"/>
        <w:jc w:val="both"/>
      </w:pPr>
      <w:r>
        <w:rPr>
          <w:rFonts w:ascii="Arial" w:hAnsi="Arial"/>
          <w:b w:val="0"/>
          <w:i w:val="0"/>
          <w:sz w:val="28"/>
        </w:rPr>
        <w:t>La defensa previsible de la autoridad, que puede constar ya en la resolución del recurso o aparecer al contestar la demanda, consiste en sostener que los visitadores sí estaban facultados porque la orden de visita cita el artículo 43, fracción II, del Código Fiscal de la Federación y los preceptos del Reglamento Interior del Servicio de Administración Tributaria que prevén su designación, que es en la orden y no en el acta donde debía invocarse ese fundamento, y que en el acta los visitadores se identificaron plenamente. Ese razonamiento es lógicamente inválido por dos razones.</w:t>
      </w:r>
    </w:p>
    <w:p>
      <w:pPr>
        <w:spacing w:line="360" w:lineRule="auto"/>
        <w:jc w:val="both"/>
      </w:pPr>
      <w:r>
        <w:rPr>
          <w:rFonts w:ascii="Arial" w:hAnsi="Arial"/>
          <w:b w:val="0"/>
          <w:i w:val="0"/>
          <w:sz w:val="28"/>
        </w:rPr>
        <w:t>En primer lugar, incurre en la falacia de eludir la cuestión o ignoratio elenchi, que consiste en probar una cosa diferente de la que se cuestiona.</w:t>
      </w:r>
      <w:r>
        <w:rPr>
          <w:rFonts w:ascii="Arial" w:hAnsi="Arial"/>
          <w:vertAlign w:val="superscript"/>
        </w:rPr>
        <w:t>5</w:t>
      </w:r>
      <w:r>
        <w:rPr>
          <w:rFonts w:ascii="Arial" w:hAnsi="Arial"/>
          <w:b w:val="0"/>
          <w:i w:val="0"/>
          <w:sz w:val="28"/>
        </w:rPr>
        <w:t xml:space="preserve"> Lo debatido es si el acta parcial de inicio contiene el fundamento que exige el artículo 49, fracción III, del Reglamento; la autoridad responde demostrando que la orden de visita está fundada y que los visitadores se identificaron, dos proposiciones que pueden ser verdaderas sin que la cuestión planteada quede resuelta, pues la orden puede estar fundada con toda corrección y el acta, aun así, carecer del requisito que el reglamento le impone.</w:t>
      </w:r>
    </w:p>
    <w:p>
      <w:pPr>
        <w:spacing w:line="360" w:lineRule="auto"/>
        <w:jc w:val="both"/>
      </w:pPr>
      <w:r>
        <w:rPr>
          <w:rFonts w:ascii="Arial" w:hAnsi="Arial"/>
          <w:b w:val="0"/>
          <w:i w:val="0"/>
          <w:sz w:val="28"/>
        </w:rPr>
        <w:t>En segundo lugar, el argumento incurre en la falacia de división, que consiste en sostener que lo cierto respecto de un todo debe serlo también respecto de cada una de sus partes.</w:t>
      </w:r>
      <w:r>
        <w:rPr>
          <w:rFonts w:ascii="Arial" w:hAnsi="Arial"/>
          <w:vertAlign w:val="superscript"/>
        </w:rPr>
        <w:t>6</w:t>
      </w:r>
      <w:r>
        <w:rPr>
          <w:rFonts w:ascii="Arial" w:hAnsi="Arial"/>
          <w:b w:val="0"/>
          <w:i w:val="0"/>
          <w:sz w:val="28"/>
        </w:rPr>
        <w:t xml:space="preserve"> La autoridad toma una cualidad de la orden, su fundamentación, que rige el procedimiento en su conjunto, y la atribuye a cada una de las actas que lo integran, como si la fundamentación del documento que ordena la visita se transmitiera por sí sola a cada documento que registra su ejecución. El reglamento desmiente esa transferencia al exigir el fundamento </w:t>
      </w:r>
      <w:r>
        <w:rPr>
          <w:rFonts w:ascii="Arial" w:hAnsi="Arial"/>
          <w:b w:val="0"/>
          <w:i/>
          <w:sz w:val="28"/>
        </w:rPr>
        <w:t>“en las actas que se levanten”</w:t>
      </w:r>
      <w:r>
        <w:rPr>
          <w:rFonts w:ascii="Arial" w:hAnsi="Arial"/>
          <w:b w:val="0"/>
          <w:i w:val="0"/>
          <w:sz w:val="28"/>
        </w:rPr>
        <w:t>, porque cada acta documenta un acto de molestia propio.</w:t>
      </w:r>
    </w:p>
    <w:p>
      <w:pPr>
        <w:spacing w:line="360" w:lineRule="auto"/>
        <w:jc w:val="both"/>
      </w:pPr>
      <w:r>
        <w:rPr>
          <w:rFonts w:ascii="Arial" w:hAnsi="Arial"/>
          <w:b w:val="0"/>
          <w:i w:val="0"/>
          <w:sz w:val="28"/>
        </w:rPr>
        <w:t>Tampoco aprovecha a la autoridad la afirmación de que los visitadores se identificaron plenamente. La plenitud de la identificación respecto de las fracciones I, II y IV del artículo 49 no suple la omisión de la fracción III, pues cada fracción tiene un contenido propio; y aceptar que la cita del artículo 43, fracción II, en la orden basta para colmar el requisito del acta privaría de todo efecto a la fracción III, dado que toda orden de visita debe contener, por mandato de ese mismo precepto, el nombre de las personas designadas para efectuarla.</w:t>
      </w:r>
    </w:p>
    <w:p>
      <w:pPr>
        <w:spacing w:line="360" w:lineRule="auto"/>
        <w:jc w:val="both"/>
      </w:pPr>
      <w:r>
        <w:rPr>
          <w:rFonts w:ascii="Arial" w:hAnsi="Arial"/>
          <w:b w:val="0"/>
          <w:i w:val="0"/>
          <w:sz w:val="28"/>
        </w:rPr>
        <w:t>La lectura correcta armoniza cada documento con su función: la orden funda la competencia de la autoridad y la designación de los visitadores, y el acta de inicio documenta, frente a la persona visitada, que quienes se presentan en su domicilio están autorizados por la norma que en ella se señala expresamente. La exigencia responde a una razón práctica, porque el acta es el documento que registra, en el domicilio y ante testigos, quién ejecutó la intromisión y con qué título, y su omisión deja a la persona visitada sin la constancia que el reglamento diseñó para su protección.</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 xml:space="preserve">En suma, el artículo 49, fracción III, del Reglamento del Código Fiscal de la Federación obliga a asentar en las actas de visita el fundamento jurídico que acredita a los visitadores como personal autorizado para practicarla; ese fundamento, el artículo 43, fracción II, del Código Fiscal de la Federación, no se asentó en el acta parcial de inicio de </w:t>
      </w:r>
      <w:r>
        <w:rPr>
          <w:rFonts w:ascii="Arial" w:hAnsi="Arial"/>
          <w:b/>
          <w:i w:val="0"/>
          <w:sz w:val="28"/>
        </w:rPr>
        <w:t>[FECHA DEL ACTA PARCIAL DE INICIO]</w:t>
      </w:r>
      <w:r>
        <w:rPr>
          <w:rFonts w:ascii="Arial" w:hAnsi="Arial"/>
          <w:b w:val="0"/>
          <w:i w:val="0"/>
          <w:sz w:val="28"/>
        </w:rPr>
        <w:t>; y la omisión afectó las defensas de la parte actora y trascendió a la liquidación, que se sustenta en hechos consignados en actas viciadas desde su origen.</w:t>
      </w:r>
    </w:p>
    <w:p>
      <w:pPr>
        <w:spacing w:line="360" w:lineRule="auto"/>
        <w:jc w:val="both"/>
      </w:pPr>
      <w:r>
        <w:rPr>
          <w:rFonts w:ascii="Arial" w:hAnsi="Arial"/>
          <w:b w:val="0"/>
          <w:i w:val="0"/>
          <w:sz w:val="28"/>
        </w:rPr>
        <w:t xml:space="preserve">Por lo expuesto, procede declarar fundado el presente concepto de impugnación y, con fundamento en los artículos 51, fracción II, y 52, fracción II, de la Ley Federal de Procedimiento Contencioso Administrativo, declarar la nulidad lisa y llana de la resolución determinante </w:t>
      </w:r>
      <w:r>
        <w:rPr>
          <w:rFonts w:ascii="Arial" w:hAnsi="Arial"/>
          <w:b/>
          <w:i w:val="0"/>
          <w:sz w:val="28"/>
        </w:rPr>
        <w:t>[NÚMERO Y FECHA DE LA RESOLUCIÓN DETERMINANTE]</w:t>
      </w:r>
      <w:r>
        <w:rPr>
          <w:rFonts w:ascii="Arial" w:hAnsi="Arial"/>
          <w:b w:val="0"/>
          <w:i w:val="0"/>
          <w:sz w:val="28"/>
        </w:rPr>
        <w:t xml:space="preserve"> y, en consecuencia, la de la resolución </w:t>
      </w:r>
      <w:r>
        <w:rPr>
          <w:rFonts w:ascii="Arial" w:hAnsi="Arial"/>
          <w:b/>
          <w:i w:val="0"/>
          <w:sz w:val="28"/>
        </w:rPr>
        <w:t>[NÚMERO Y FECHA DE LA RESOLUCIÓN DEL RECURSO DE REVOCACIÓN]</w:t>
      </w:r>
      <w:r>
        <w:rPr>
          <w:rFonts w:ascii="Arial" w:hAnsi="Arial"/>
          <w:b w:val="0"/>
          <w:i w:val="0"/>
          <w:sz w:val="28"/>
        </w:rPr>
        <w:t xml:space="preserve"> en la parte en que no satisfizo el interés jurídico de la parte actora, por dejar subsistente un acto ilegal, conforme a los artículos 1º, segundo párrafo, 50 y 51, fracción IV, de esa ley.</w:t>
      </w:r>
    </w:p>
    <w:p>
      <w:pPr>
        <w:spacing w:line="360" w:lineRule="auto"/>
        <w:jc w:val="both"/>
      </w:pPr>
      <w:r>
        <w:rPr>
          <w:rFonts w:ascii="Arial" w:hAnsi="Arial"/>
          <w:b w:val="0"/>
          <w:i w:val="0"/>
          <w:sz w:val="28"/>
        </w:rPr>
        <w:t>La nulidad debe ser lisa y llana porque la violación se cometió al inicio del ejercicio de una facultad de comprobación que la autoridad decide discrecionalmente si ejerce, y ordenar la reposición del procedimiento equivaldría a que la sentencia determinara el ejercicio de una facultad cuya iniciativa sólo a ella corresponde, con la ventaja añadida de una nueva oportunidad para perfeccionar su actuación. En un caso análogo, una Sala Regional de este Tribunal declaró la nulidad lisa y llana por haberse cometido la violación formal desde el inicio de una facultad de comprobación discrecional.</w:t>
      </w:r>
    </w:p>
    <w:p>
      <w:pPr>
        <w:spacing w:line="360" w:lineRule="auto"/>
        <w:jc w:val="both"/>
      </w:pPr>
      <w:r>
        <w:rPr>
          <w:rFonts w:ascii="Arial" w:hAnsi="Arial"/>
          <w:b w:val="0"/>
          <w:i w:val="0"/>
          <w:sz w:val="28"/>
        </w:rPr>
        <w:t>El artículo 57, fracción I, inciso b), de la ley citada confirma esa conclusión al reconocer que, cuando la autoridad tiene facultades discrecionales para iniciar el procedimiento, puede abstenerse de reponerlo, de modo que la decisión de volver a fiscalizar es suya y no puede imponérsela la sentencia.</w:t>
      </w:r>
    </w:p>
    <w:p>
      <w:pPr>
        <w:spacing w:line="360" w:lineRule="auto"/>
        <w:jc w:val="both"/>
      </w:pPr>
      <w:r>
        <w:rPr>
          <w:rFonts w:ascii="Arial" w:hAnsi="Arial"/>
          <w:b w:val="0"/>
          <w:i w:val="0"/>
          <w:sz w:val="28"/>
        </w:rPr>
        <w:t>Finalmente, se solicita el estudio preferente de este concepto, en términos del artículo 50, segundo párrafo, de la Ley Federal de Procedimiento Contencioso Administrativo, que ordena examinar primero las causales de ilegalidad que puedan llevar a declarar la nulidad lisa y llana; lo anterior, sin perjuicio de que se estudien los conceptos de fondo que reporten a la parte actora un beneficio mayor.</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 p. 157.</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 p. 68.</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EZQUIAGA GANUZAS, Francisco Javier, </w:t>
      </w:r>
      <w:r>
        <w:rPr>
          <w:rFonts w:ascii="Arial" w:hAnsi="Arial"/>
          <w:i/>
          <w:sz w:val="20"/>
        </w:rPr>
        <w:t>La motivación de las decisiones interpretativas electorales</w:t>
      </w:r>
      <w:r>
        <w:rPr>
          <w:rFonts w:ascii="Arial" w:hAnsi="Arial"/>
          <w:i w:val="0"/>
          <w:sz w:val="20"/>
        </w:rPr>
        <w:t>, Tribunal Electoral del Poder Judicial de la Federación, México, 2012, p. 225.</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CARRANCO ZÚÑIGA, Joel, </w:t>
      </w:r>
      <w:r>
        <w:rPr>
          <w:rFonts w:ascii="Arial" w:hAnsi="Arial"/>
          <w:i/>
          <w:sz w:val="20"/>
        </w:rPr>
        <w:t>Juicio de amparo. Procedencia y sobreseimiento</w:t>
      </w:r>
      <w:r>
        <w:rPr>
          <w:rFonts w:ascii="Arial" w:hAnsi="Arial"/>
          <w:i w:val="0"/>
          <w:sz w:val="20"/>
        </w:rPr>
        <w:t>, 6ª ed., Porrúa, México, 2020, pp. 156-157.</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38.</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 p. 96.</w:t>
      </w:r>
    </w:p>
    <w:p/>
    <w:p>
      <w:r>
        <w:rPr>
          <w:rFonts w:ascii="Arial" w:hAnsi="Arial"/>
          <w:b/>
          <w:sz w:val="22"/>
        </w:rPr>
        <w:t>BIBLIOGRAFÍA</w:t>
      </w:r>
    </w:p>
    <w:p>
      <w:pPr>
        <w:spacing w:after="60"/>
        <w:ind w:left="360" w:hanging="360"/>
        <w:jc w:val="both"/>
      </w:pP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w:t>
      </w:r>
    </w:p>
    <w:p>
      <w:pPr>
        <w:spacing w:after="60"/>
        <w:ind w:left="360" w:hanging="360"/>
        <w:jc w:val="both"/>
      </w:pPr>
      <w:r>
        <w:rPr>
          <w:rFonts w:ascii="Arial" w:hAnsi="Arial"/>
          <w:i w:val="0"/>
          <w:sz w:val="20"/>
        </w:rPr>
        <w:t xml:space="preserve">CARRANCO ZÚÑIGA, Joel, </w:t>
      </w:r>
      <w:r>
        <w:rPr>
          <w:rFonts w:ascii="Arial" w:hAnsi="Arial"/>
          <w:i/>
          <w:sz w:val="20"/>
        </w:rPr>
        <w:t>Juicio de amparo. Procedencia y sobreseimiento</w:t>
      </w:r>
      <w:r>
        <w:rPr>
          <w:rFonts w:ascii="Arial" w:hAnsi="Arial"/>
          <w:i w:val="0"/>
          <w:sz w:val="20"/>
        </w:rPr>
        <w:t>, 6ª ed., Porrúa, México, 2020.</w:t>
      </w:r>
    </w:p>
    <w:p>
      <w:pPr>
        <w:spacing w:after="60"/>
        <w:ind w:left="360" w:hanging="360"/>
        <w:jc w:val="both"/>
      </w:pPr>
      <w:r>
        <w:rPr>
          <w:rFonts w:ascii="Arial" w:hAnsi="Arial"/>
          <w:i w:val="0"/>
          <w:sz w:val="20"/>
        </w:rPr>
        <w:t xml:space="preserve">EZQUIAGA GANUZAS, Francisco Javier, </w:t>
      </w:r>
      <w:r>
        <w:rPr>
          <w:rFonts w:ascii="Arial" w:hAnsi="Arial"/>
          <w:i/>
          <w:sz w:val="20"/>
        </w:rPr>
        <w:t>La motivación de las decisiones interpretativas electorales</w:t>
      </w:r>
      <w:r>
        <w:rPr>
          <w:rFonts w:ascii="Arial" w:hAnsi="Arial"/>
          <w:i w:val="0"/>
          <w:sz w:val="20"/>
        </w:rPr>
        <w:t>, Tribunal Electoral del Poder Judicial de la Federación, México, 2012.</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w:t>
      </w:r>
    </w:p>
    <w:p>
      <w:pPr>
        <w:spacing w:after="60"/>
        <w:ind w:left="360" w:hanging="360"/>
        <w:jc w:val="both"/>
      </w:pP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