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INDIRECTO LABORAL. ILEGALIDAD DEL EMPLAZAMIENTO POR FALTA DE LA CÉDULA DE NOTIFICACIÓN EN EL EXPEDIENTE</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 tu demanda de amparo indirecto. Empieza por lo esencial: pide copias certificadas de todo el expediente laboral y revisa foja por foja si obra la copia de la cédula de notificación; si sólo aparece la razón actuarial, ése es el vicio que se combate.</w:t>
      </w:r>
    </w:p>
    <w:p>
      <w:pPr>
        <w:spacing w:line="360" w:lineRule="auto"/>
        <w:jc w:val="both"/>
      </w:pPr>
      <w:r>
        <w:rPr>
          <w:rFonts w:ascii="Arial" w:hAnsi="Arial"/>
          <w:b w:val="0"/>
          <w:i w:val="0"/>
          <w:sz w:val="24"/>
        </w:rPr>
        <w:t>Anota con precisión la fecha en que tuviste conocimiento del juicio y el acto que te lo hizo saber, porque de ahí depende que puedas ostentarte como persona extraña por equiparación y el cómputo del plazo, que debes verificar en la Ley de Amparo antes de presentar la demanda. Después llena los campos editables, transcribe la razón actuarial de forma literal y acompaña las copias certificadas como prueba. Conserva el orden del escrito: procedencia de la vía, premisa, aplicación, refutación y efectos.</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[TRIBUNAL LABORAL RESPONSABLE]</w:t>
      </w:r>
      <w:r>
        <w:rPr>
          <w:rFonts w:ascii="Arial" w:hAnsi="Arial"/>
          <w:b w:val="0"/>
          <w:i w:val="0"/>
          <w:sz w:val="24"/>
        </w:rPr>
        <w:t>: la denominación completa del tribunal laboral que siguió el juicio y ordenó el emplazamiento.</w:t>
      </w:r>
    </w:p>
    <w:p>
      <w:pPr>
        <w:spacing w:line="360" w:lineRule="auto"/>
        <w:jc w:val="both"/>
      </w:pPr>
      <w:r>
        <w:rPr>
          <w:rFonts w:ascii="Arial" w:hAnsi="Arial"/>
          <w:b/>
          <w:i w:val="0"/>
          <w:sz w:val="24"/>
        </w:rPr>
        <w:t>[NOMBRE DE LA PERSONA QUEJOSA]</w:t>
      </w:r>
      <w:r>
        <w:rPr>
          <w:rFonts w:ascii="Arial" w:hAnsi="Arial"/>
          <w:b w:val="0"/>
          <w:i w:val="0"/>
          <w:sz w:val="24"/>
        </w:rPr>
        <w:t>: quien fue emplazada de forma irregular y promueve el amparo.</w:t>
      </w:r>
    </w:p>
    <w:p>
      <w:pPr>
        <w:spacing w:line="360" w:lineRule="auto"/>
        <w:jc w:val="both"/>
      </w:pPr>
      <w:r>
        <w:rPr>
          <w:rFonts w:ascii="Arial" w:hAnsi="Arial"/>
          <w:b/>
          <w:i w:val="0"/>
          <w:sz w:val="24"/>
        </w:rPr>
        <w:t>[NÚMERO DE EXPEDIENTE LABORAL]</w:t>
      </w:r>
      <w:r>
        <w:rPr>
          <w:rFonts w:ascii="Arial" w:hAnsi="Arial"/>
          <w:b w:val="0"/>
          <w:i w:val="0"/>
          <w:sz w:val="24"/>
        </w:rPr>
        <w:t>: el número del juicio de origen.</w:t>
      </w:r>
    </w:p>
    <w:p>
      <w:pPr>
        <w:spacing w:line="360" w:lineRule="auto"/>
        <w:jc w:val="both"/>
      </w:pPr>
      <w:r>
        <w:rPr>
          <w:rFonts w:ascii="Arial" w:hAnsi="Arial"/>
          <w:b/>
          <w:i w:val="0"/>
          <w:sz w:val="24"/>
        </w:rPr>
        <w:t>[FECHA DE LA DILIGENCIA DE EMPLAZAMIENTO]</w:t>
      </w:r>
      <w:r>
        <w:rPr>
          <w:rFonts w:ascii="Arial" w:hAnsi="Arial"/>
          <w:b w:val="0"/>
          <w:i w:val="0"/>
          <w:sz w:val="24"/>
        </w:rPr>
        <w:t>: la fecha que consta en la razón actuarial.</w:t>
      </w:r>
    </w:p>
    <w:p>
      <w:pPr>
        <w:spacing w:line="360" w:lineRule="auto"/>
        <w:jc w:val="both"/>
      </w:pPr>
      <w:r>
        <w:rPr>
          <w:rFonts w:ascii="Arial" w:hAnsi="Arial"/>
          <w:b/>
          <w:i w:val="0"/>
          <w:sz w:val="24"/>
        </w:rPr>
        <w:t>[DOMICILIO EN QUE SE PRACTICÓ LA DILIGENCIA]</w:t>
      </w:r>
      <w:r>
        <w:rPr>
          <w:rFonts w:ascii="Arial" w:hAnsi="Arial"/>
          <w:b w:val="0"/>
          <w:i w:val="0"/>
          <w:sz w:val="24"/>
        </w:rPr>
        <w:t>: el domicilio asentado en la razón.</w:t>
      </w:r>
    </w:p>
    <w:p>
      <w:pPr>
        <w:spacing w:line="360" w:lineRule="auto"/>
        <w:jc w:val="both"/>
      </w:pPr>
      <w:r>
        <w:rPr>
          <w:rFonts w:ascii="Arial" w:hAnsi="Arial"/>
          <w:b/>
          <w:i w:val="0"/>
          <w:sz w:val="24"/>
        </w:rPr>
        <w:t>[PERSONA CON QUIEN SE ENTENDIÓ LA DILIGENCIA]</w:t>
      </w:r>
      <w:r>
        <w:rPr>
          <w:rFonts w:ascii="Arial" w:hAnsi="Arial"/>
          <w:b w:val="0"/>
          <w:i w:val="0"/>
          <w:sz w:val="24"/>
        </w:rPr>
        <w:t>: quien atendió al actuario según el acta, o la mención de que no se identificó.</w:t>
      </w:r>
    </w:p>
    <w:p>
      <w:pPr>
        <w:spacing w:line="360" w:lineRule="auto"/>
        <w:jc w:val="both"/>
      </w:pPr>
      <w:r>
        <w:rPr>
          <w:rFonts w:ascii="Arial" w:hAnsi="Arial"/>
          <w:b/>
          <w:i w:val="0"/>
          <w:sz w:val="24"/>
        </w:rPr>
        <w:t>[FECHA EN QUE LA PERSONA QUEJOSA TUVO CONOCIMIENTO DEL JUICIO]</w:t>
      </w:r>
      <w:r>
        <w:rPr>
          <w:rFonts w:ascii="Arial" w:hAnsi="Arial"/>
          <w:b w:val="0"/>
          <w:i w:val="0"/>
          <w:sz w:val="24"/>
        </w:rPr>
        <w:t>: el día exacto en que te enteraste, bajo protesta de decir verdad.</w:t>
      </w:r>
    </w:p>
    <w:p>
      <w:pPr>
        <w:spacing w:line="360" w:lineRule="auto"/>
        <w:jc w:val="both"/>
      </w:pPr>
      <w:r>
        <w:rPr>
          <w:rFonts w:ascii="Arial" w:hAnsi="Arial"/>
          <w:b/>
          <w:i w:val="0"/>
          <w:sz w:val="24"/>
        </w:rPr>
        <w:t>[ACTO POR EL QUE SE ENTERÓ DEL JUICIO]</w:t>
      </w:r>
      <w:r>
        <w:rPr>
          <w:rFonts w:ascii="Arial" w:hAnsi="Arial"/>
          <w:b w:val="0"/>
          <w:i w:val="0"/>
          <w:sz w:val="24"/>
        </w:rPr>
        <w:t>: la diligencia de embargo, el requerimiento, la notificación bancaria o el hecho que te dio noticia.</w:t>
      </w:r>
    </w:p>
    <w:p>
      <w:pPr>
        <w:spacing w:line="360" w:lineRule="auto"/>
        <w:jc w:val="both"/>
      </w:pPr>
      <w:r>
        <w:rPr>
          <w:rFonts w:ascii="Arial" w:hAnsi="Arial"/>
          <w:b/>
          <w:i w:val="0"/>
          <w:sz w:val="24"/>
        </w:rPr>
        <w:t>[FECHA DEL LAUDO O SENTENCIA DEFINITIVA]</w:t>
      </w:r>
      <w:r>
        <w:rPr>
          <w:rFonts w:ascii="Arial" w:hAnsi="Arial"/>
          <w:b w:val="0"/>
          <w:i w:val="0"/>
          <w:sz w:val="24"/>
        </w:rPr>
        <w:t>: la fecha de la resolución dictada en el juicio laboral.</w:t>
      </w:r>
    </w:p>
    <w:p>
      <w:pPr>
        <w:spacing w:line="360" w:lineRule="auto"/>
        <w:jc w:val="both"/>
      </w:pPr>
      <w:r>
        <w:rPr>
          <w:rFonts w:ascii="Arial" w:hAnsi="Arial"/>
          <w:b/>
          <w:i w:val="0"/>
          <w:sz w:val="24"/>
        </w:rPr>
        <w:t>[PRESTACIONES O CONDENA IMPUESTA]</w:t>
      </w:r>
      <w:r>
        <w:rPr>
          <w:rFonts w:ascii="Arial" w:hAnsi="Arial"/>
          <w:b w:val="0"/>
          <w:i w:val="0"/>
          <w:sz w:val="24"/>
        </w:rPr>
        <w:t>: aquello a lo que se condenó a la persona quejosa.</w:t>
      </w:r>
    </w:p>
    <w:p>
      <w:pPr>
        <w:spacing w:line="360" w:lineRule="auto"/>
        <w:jc w:val="both"/>
      </w:pPr>
      <w:r>
        <w:rPr>
          <w:rFonts w:ascii="Arial" w:hAnsi="Arial"/>
          <w:b/>
          <w:i w:val="0"/>
          <w:sz w:val="24"/>
        </w:rPr>
        <w:t>[DEFENSAS Y EXCEPCIONES QUE SE VIO IMPEDIDA DE OPONER]</w:t>
      </w:r>
      <w:r>
        <w:rPr>
          <w:rFonts w:ascii="Arial" w:hAnsi="Arial"/>
          <w:b w:val="0"/>
          <w:i w:val="0"/>
          <w:sz w:val="24"/>
        </w:rPr>
        <w:t>: las que habrías hecho valer de haber sido emplazada legalmente.</w:t>
      </w:r>
    </w:p>
    <w:p>
      <w:pPr>
        <w:spacing w:line="360" w:lineRule="auto"/>
        <w:jc w:val="both"/>
      </w:pPr>
      <w:r>
        <w:rPr>
          <w:rFonts w:ascii="Arial" w:hAnsi="Arial"/>
          <w:b/>
          <w:i w:val="0"/>
          <w:sz w:val="24"/>
        </w:rPr>
        <w:t>[FOJAS DEL EXPEDIENTE EN QUE OBRA LA RAZÓN ACTUARIAL]</w:t>
      </w:r>
      <w:r>
        <w:rPr>
          <w:rFonts w:ascii="Arial" w:hAnsi="Arial"/>
          <w:b w:val="0"/>
          <w:i w:val="0"/>
          <w:sz w:val="24"/>
        </w:rPr>
        <w:t>: la foja o fojas exactas, tomadas de las copias certificadas.</w:t>
      </w:r>
    </w:p>
    <w:p>
      <w:pPr>
        <w:spacing w:line="360" w:lineRule="auto"/>
        <w:jc w:val="both"/>
      </w:pPr>
      <w:r>
        <w:rPr>
          <w:rFonts w:ascii="Arial" w:hAnsi="Arial"/>
          <w:b/>
          <w:i w:val="0"/>
          <w:sz w:val="24"/>
        </w:rPr>
        <w:t>[TRANSCRIPCIÓN DE LA RAZÓN ACTUARIAL]</w:t>
      </w:r>
      <w:r>
        <w:rPr>
          <w:rFonts w:ascii="Arial" w:hAnsi="Arial"/>
          <w:b w:val="0"/>
          <w:i w:val="0"/>
          <w:sz w:val="24"/>
        </w:rPr>
        <w:t>: el texto literal de la razón que levantó la persona actuaria.</w:t>
      </w:r>
    </w:p>
    <w:p>
      <w:pPr>
        <w:spacing w:line="360" w:lineRule="auto"/>
        <w:jc w:val="both"/>
      </w:pPr>
      <w:r>
        <w:rPr>
          <w:rFonts w:ascii="Arial" w:hAnsi="Arial"/>
          <w:b/>
          <w:i w:val="0"/>
          <w:sz w:val="24"/>
        </w:rPr>
        <w:t>[VERIFICAR PLAZO APLICABLE]</w:t>
      </w:r>
      <w:r>
        <w:rPr>
          <w:rFonts w:ascii="Arial" w:hAnsi="Arial"/>
          <w:b w:val="0"/>
          <w:i w:val="0"/>
          <w:sz w:val="24"/>
        </w:rPr>
        <w:t>: sustituye esta marca por el plazo que corresponda conforme a la Ley de Amparo, una vez confirmado.</w:t>
      </w:r>
    </w:p>
    <w:p/>
    <w:p>
      <w:pPr>
        <w:spacing w:line="360" w:lineRule="auto"/>
        <w:jc w:val="both"/>
      </w:pPr>
      <w:r>
        <w:rPr>
          <w:rFonts w:ascii="Arial" w:hAnsi="Arial"/>
          <w:b/>
          <w:sz w:val="28"/>
        </w:rPr>
        <w:t>[NÚMERO ORDINAL DEL CONCEPTO] CONCEPTO DE VIOLACIÓN. Ilegalidad del emplazamiento al juicio laboral porque en el expediente no obra la copia de la cédula de notificación prevista en el artículo 751 de la Ley Federal del Trabajo. El [TRIBUNAL LABORAL RESPONSABLE] tuvo por legalmente emplazada a la persona quejosa con la sola razón actuarial, contra el criterio obligatorio del Pleno de la Suprema Corte de Justicia de la Nación contenido en la jurisprudencia P./J. 177/2026 (12a.), con violación al derecho de audiencia y a las formalidades esenciales del procedimiento del artículo 14, párrafo segundo, constitucional.</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emplazamiento practicado a </w:t>
      </w:r>
      <w:r>
        <w:rPr>
          <w:rFonts w:ascii="Arial" w:hAnsi="Arial"/>
          <w:b/>
          <w:i w:val="0"/>
          <w:sz w:val="28"/>
        </w:rPr>
        <w:t>[NOMBRE DE LA PERSONA QUEJOSA]</w:t>
      </w:r>
      <w:r>
        <w:rPr>
          <w:rFonts w:ascii="Arial" w:hAnsi="Arial"/>
          <w:b w:val="0"/>
          <w:i w:val="0"/>
          <w:sz w:val="28"/>
        </w:rPr>
        <w:t xml:space="preserve"> dentro del juicio laboral </w:t>
      </w:r>
      <w:r>
        <w:rPr>
          <w:rFonts w:ascii="Arial" w:hAnsi="Arial"/>
          <w:b/>
          <w:i w:val="0"/>
          <w:sz w:val="28"/>
        </w:rPr>
        <w:t>[NÚMERO DE EXPEDIENTE LABORAL]</w:t>
      </w:r>
      <w:r>
        <w:rPr>
          <w:rFonts w:ascii="Arial" w:hAnsi="Arial"/>
          <w:b w:val="0"/>
          <w:i w:val="0"/>
          <w:sz w:val="28"/>
        </w:rPr>
        <w:t xml:space="preserve">, seguido ante el </w:t>
      </w:r>
      <w:r>
        <w:rPr>
          <w:rFonts w:ascii="Arial" w:hAnsi="Arial"/>
          <w:b/>
          <w:i w:val="0"/>
          <w:sz w:val="28"/>
        </w:rPr>
        <w:t>[TRIBUNAL LABORAL RESPONSABLE]</w:t>
      </w:r>
      <w:r>
        <w:rPr>
          <w:rFonts w:ascii="Arial" w:hAnsi="Arial"/>
          <w:b w:val="0"/>
          <w:i w:val="0"/>
          <w:sz w:val="28"/>
        </w:rPr>
        <w:t xml:space="preserve">, es ilegal, porque en autos no obra la copia de la cédula de notificación prevista en el artículo 751 de la Ley Federal del Trabajo, sino únicamente la razón que la persona actuaria levantó el </w:t>
      </w:r>
      <w:r>
        <w:rPr>
          <w:rFonts w:ascii="Arial" w:hAnsi="Arial"/>
          <w:b/>
          <w:i w:val="0"/>
          <w:sz w:val="28"/>
        </w:rPr>
        <w:t>[FECHA DE LA DILIGENCIA DE EMPLAZAMIENTO]</w:t>
      </w:r>
      <w:r>
        <w:rPr>
          <w:rFonts w:ascii="Arial" w:hAnsi="Arial"/>
          <w:b w:val="0"/>
          <w:i w:val="0"/>
          <w:sz w:val="28"/>
        </w:rPr>
        <w:t>, en la que se limitó a asentar que corrió traslado con esa cédula y con sus anexos.</w:t>
      </w:r>
    </w:p>
    <w:p>
      <w:pPr>
        <w:spacing w:line="360" w:lineRule="auto"/>
        <w:jc w:val="both"/>
      </w:pPr>
      <w:r>
        <w:rPr>
          <w:rFonts w:ascii="Arial" w:hAnsi="Arial"/>
          <w:b w:val="0"/>
          <w:i w:val="0"/>
          <w:sz w:val="28"/>
        </w:rPr>
        <w:t>La premisa que sostiene el planteamiento es sencilla y fue fijada con carácter obligatorio por el Pleno de la Suprema Corte de Justicia de la Nación: para que el emplazamiento al juicio laboral sea válido, la copia de la cédula debe agregarse al expediente, porque esa constancia es el elemento objetivo que permite verificar la legalidad de la diligencia cuando se le atribuye algún vicio. Sin ella no hay manera de contrastar lo que la razón afirma con lo que efectivamente se entregó.</w:t>
      </w:r>
    </w:p>
    <w:p>
      <w:pPr>
        <w:spacing w:line="360" w:lineRule="auto"/>
        <w:jc w:val="both"/>
      </w:pPr>
      <w:r>
        <w:rPr>
          <w:rFonts w:ascii="Arial" w:hAnsi="Arial"/>
          <w:b w:val="0"/>
          <w:i w:val="0"/>
          <w:sz w:val="28"/>
        </w:rPr>
        <w:t>La consecuencia de esa ausencia no es un descuido menor en la integración del expediente. Al no existir el documento que acredite qué se entregó, la persona quejosa quedó impedida para conocer con precisión la demanda y sus anexos, para contestarla, oponer excepciones, ofrecer pruebas y alegar; es decir, se le privó del contenido mismo del derecho de audiencia y de las formalidades esenciales del procedimiento que reconoce el artículo 14, párrafo segundo, de la Constitución Política de los Estados Unidos Mexicanos.</w:t>
      </w:r>
    </w:p>
    <w:p>
      <w:pPr>
        <w:spacing w:line="360" w:lineRule="auto"/>
        <w:jc w:val="both"/>
      </w:pPr>
      <w:r>
        <w:rPr>
          <w:rFonts w:ascii="Arial" w:hAnsi="Arial"/>
          <w:b w:val="0"/>
          <w:i w:val="0"/>
          <w:sz w:val="28"/>
        </w:rPr>
        <w:t xml:space="preserve">Si la premisa se respeta, la conclusión es forzosa: el emplazamiento es ilegal y arrastra consigo todo lo actuado en el juicio laboral a partir de esa diligencia, incluido el laudo o sentencia definitiva de </w:t>
      </w:r>
      <w:r>
        <w:rPr>
          <w:rFonts w:ascii="Arial" w:hAnsi="Arial"/>
          <w:b/>
          <w:i w:val="0"/>
          <w:sz w:val="28"/>
        </w:rPr>
        <w:t>[FECHA DEL LAUDO O SENTENCIA DEFINITIVA]</w:t>
      </w:r>
      <w:r>
        <w:rPr>
          <w:rFonts w:ascii="Arial" w:hAnsi="Arial"/>
          <w:b w:val="0"/>
          <w:i w:val="0"/>
          <w:sz w:val="28"/>
        </w:rPr>
        <w:t>. Procede, entonces, conceder el amparo para el efecto de que se deje insubsistente lo actuado y se emplace de nueva cuenta a la persona quejosa conforme a la ley, con la debida integración de la constancia que el criterio obligatorio exige.</w:t>
      </w:r>
    </w:p>
    <w:p>
      <w:pPr>
        <w:spacing w:line="360" w:lineRule="auto"/>
        <w:jc w:val="both"/>
      </w:pPr>
      <w:r>
        <w:rPr>
          <w:rFonts w:ascii="Arial" w:hAnsi="Arial"/>
          <w:b/>
          <w:sz w:val="28"/>
        </w:rPr>
        <w:t>II. Planteamiento, procedencia de la vía y perjuicio.</w:t>
      </w:r>
    </w:p>
    <w:p>
      <w:pPr>
        <w:spacing w:line="360" w:lineRule="auto"/>
        <w:jc w:val="both"/>
      </w:pPr>
      <w:r>
        <w:rPr>
          <w:rFonts w:ascii="Arial" w:hAnsi="Arial"/>
          <w:b w:val="0"/>
          <w:i w:val="0"/>
          <w:sz w:val="28"/>
        </w:rPr>
        <w:t xml:space="preserve">El acto reclamado consiste en el emplazamiento practicado el </w:t>
      </w:r>
      <w:r>
        <w:rPr>
          <w:rFonts w:ascii="Arial" w:hAnsi="Arial"/>
          <w:b/>
          <w:i w:val="0"/>
          <w:sz w:val="28"/>
        </w:rPr>
        <w:t>[FECHA DE LA DILIGENCIA DE EMPLAZAMIENTO]</w:t>
      </w:r>
      <w:r>
        <w:rPr>
          <w:rFonts w:ascii="Arial" w:hAnsi="Arial"/>
          <w:b w:val="0"/>
          <w:i w:val="0"/>
          <w:sz w:val="28"/>
        </w:rPr>
        <w:t xml:space="preserve"> en </w:t>
      </w:r>
      <w:r>
        <w:rPr>
          <w:rFonts w:ascii="Arial" w:hAnsi="Arial"/>
          <w:b/>
          <w:i w:val="0"/>
          <w:sz w:val="28"/>
        </w:rPr>
        <w:t>[DOMICILIO EN QUE SE PRACTICÓ LA DILIGENCIA]</w:t>
      </w:r>
      <w:r>
        <w:rPr>
          <w:rFonts w:ascii="Arial" w:hAnsi="Arial"/>
          <w:b w:val="0"/>
          <w:i w:val="0"/>
          <w:sz w:val="28"/>
        </w:rPr>
        <w:t xml:space="preserve">, con </w:t>
      </w:r>
      <w:r>
        <w:rPr>
          <w:rFonts w:ascii="Arial" w:hAnsi="Arial"/>
          <w:b/>
          <w:i w:val="0"/>
          <w:sz w:val="28"/>
        </w:rPr>
        <w:t>[PERSONA CON QUIEN SE ENTENDIÓ LA DILIGENCIA]</w:t>
      </w:r>
      <w:r>
        <w:rPr>
          <w:rFonts w:ascii="Arial" w:hAnsi="Arial"/>
          <w:b w:val="0"/>
          <w:i w:val="0"/>
          <w:sz w:val="28"/>
        </w:rPr>
        <w:t xml:space="preserve">, así como en todo lo actuado en el juicio laboral </w:t>
      </w:r>
      <w:r>
        <w:rPr>
          <w:rFonts w:ascii="Arial" w:hAnsi="Arial"/>
          <w:b/>
          <w:i w:val="0"/>
          <w:sz w:val="28"/>
        </w:rPr>
        <w:t>[NÚMERO DE EXPEDIENTE LABORAL]</w:t>
      </w:r>
      <w:r>
        <w:rPr>
          <w:rFonts w:ascii="Arial" w:hAnsi="Arial"/>
          <w:b w:val="0"/>
          <w:i w:val="0"/>
          <w:sz w:val="28"/>
        </w:rPr>
        <w:t xml:space="preserve"> a partir de esa diligencia, hasta el laudo o sentencia definitiva de </w:t>
      </w:r>
      <w:r>
        <w:rPr>
          <w:rFonts w:ascii="Arial" w:hAnsi="Arial"/>
          <w:b/>
          <w:i w:val="0"/>
          <w:sz w:val="28"/>
        </w:rPr>
        <w:t>[FECHA DEL LAUDO O SENTENCIA DEFINITIVA]</w:t>
      </w:r>
      <w:r>
        <w:rPr>
          <w:rFonts w:ascii="Arial" w:hAnsi="Arial"/>
          <w:b w:val="0"/>
          <w:i w:val="0"/>
          <w:sz w:val="28"/>
        </w:rPr>
        <w:t xml:space="preserve"> y los actos tendentes a su ejecución. Se señala como autoridad responsable al </w:t>
      </w:r>
      <w:r>
        <w:rPr>
          <w:rFonts w:ascii="Arial" w:hAnsi="Arial"/>
          <w:b/>
          <w:i w:val="0"/>
          <w:sz w:val="28"/>
        </w:rPr>
        <w:t>[TRIBUNAL LABORAL RESPONSABLE]</w:t>
      </w:r>
      <w:r>
        <w:rPr>
          <w:rFonts w:ascii="Arial" w:hAnsi="Arial"/>
          <w:b w:val="0"/>
          <w:i w:val="0"/>
          <w:sz w:val="28"/>
        </w:rPr>
        <w:t>.</w:t>
      </w:r>
    </w:p>
    <w:p>
      <w:pPr>
        <w:spacing w:line="360" w:lineRule="auto"/>
        <w:jc w:val="both"/>
      </w:pPr>
      <w:r>
        <w:rPr>
          <w:rFonts w:ascii="Arial" w:hAnsi="Arial"/>
          <w:b w:val="0"/>
          <w:i w:val="0"/>
          <w:sz w:val="28"/>
        </w:rPr>
        <w:t xml:space="preserve">La vía es el amparo indirecto. La persona quejosa se ostenta como extraña al juicio por equiparación, pues sólo tuvo conocimiento del procedimiento seguido en su contra el </w:t>
      </w:r>
      <w:r>
        <w:rPr>
          <w:rFonts w:ascii="Arial" w:hAnsi="Arial"/>
          <w:b/>
          <w:i w:val="0"/>
          <w:sz w:val="28"/>
        </w:rPr>
        <w:t>[FECHA EN QUE LA PERSONA QUEJOSA TUVO CONOCIMIENTO DEL JUICIO]</w:t>
      </w:r>
      <w:r>
        <w:rPr>
          <w:rFonts w:ascii="Arial" w:hAnsi="Arial"/>
          <w:b w:val="0"/>
          <w:i w:val="0"/>
          <w:sz w:val="28"/>
        </w:rPr>
        <w:t xml:space="preserve">, con motivo de </w:t>
      </w:r>
      <w:r>
        <w:rPr>
          <w:rFonts w:ascii="Arial" w:hAnsi="Arial"/>
          <w:b/>
          <w:i w:val="0"/>
          <w:sz w:val="28"/>
        </w:rPr>
        <w:t>[ACTO POR EL QUE SE ENTERÓ DEL JUICIO]</w:t>
      </w:r>
      <w:r>
        <w:rPr>
          <w:rFonts w:ascii="Arial" w:hAnsi="Arial"/>
          <w:b w:val="0"/>
          <w:i w:val="0"/>
          <w:sz w:val="28"/>
        </w:rPr>
        <w:t>, cuando la resolución definitiva ya era firme. La doctrina reconoce esa figura para quien, siendo parte formal, no tuvo noticia del emplazamiento y por ello estuvo impedido para contestar la demanda, ofrecer pruebas, alegar e interponer recursos.</w:t>
      </w:r>
      <w:r>
        <w:rPr>
          <w:rFonts w:ascii="Arial" w:hAnsi="Arial"/>
          <w:vertAlign w:val="superscript"/>
        </w:rPr>
        <w:t>1</w:t>
      </w:r>
    </w:p>
    <w:p>
      <w:pPr>
        <w:spacing w:line="360" w:lineRule="auto"/>
        <w:jc w:val="both"/>
      </w:pPr>
      <w:r>
        <w:rPr>
          <w:rFonts w:ascii="Arial" w:hAnsi="Arial"/>
          <w:b w:val="0"/>
          <w:i w:val="0"/>
          <w:sz w:val="28"/>
        </w:rPr>
        <w:t xml:space="preserve">De ahí que el juicio encuadre en el artículo 107, fracción VI, de la Ley de Amparo, que lo hace procedente contra actos dentro o fuera de juicio que afecten a personas extrañas, y que no sea exigible el agotamiento de recursos ordinarios, pues el artículo 61, fracción XVIII, inciso c), de esa misma ley exceptúa del principio de definitividad el caso de la persona extraña al procedimiento. Los artículos 17 y 18 de la Ley de Amparo fijan el cómputo: corre a partir del día siguiente a aquel en que la persona quejosa tuvo conocimiento o se ostentó sabedora del acto reclamado </w:t>
      </w:r>
      <w:r>
        <w:rPr>
          <w:rFonts w:ascii="Arial" w:hAnsi="Arial"/>
          <w:b/>
          <w:i w:val="0"/>
          <w:sz w:val="28"/>
        </w:rPr>
        <w:t>[VERIFICAR PLAZO APLICABLE]</w:t>
      </w:r>
      <w:r>
        <w:rPr>
          <w:rFonts w:ascii="Arial" w:hAnsi="Arial"/>
          <w:b w:val="0"/>
          <w:i w:val="0"/>
          <w:sz w:val="28"/>
        </w:rPr>
        <w:t>.</w:t>
      </w:r>
    </w:p>
    <w:p>
      <w:pPr>
        <w:spacing w:line="360" w:lineRule="auto"/>
        <w:jc w:val="both"/>
      </w:pPr>
      <w:r>
        <w:rPr>
          <w:rFonts w:ascii="Arial" w:hAnsi="Arial"/>
          <w:b w:val="0"/>
          <w:i w:val="0"/>
          <w:sz w:val="28"/>
        </w:rPr>
        <w:t xml:space="preserve">El perjuicio es concreto y verificable. Como resultado del juicio al que no fue llamada en forma legal, la persona quejosa resultó condenada a </w:t>
      </w:r>
      <w:r>
        <w:rPr>
          <w:rFonts w:ascii="Arial" w:hAnsi="Arial"/>
          <w:b/>
          <w:i w:val="0"/>
          <w:sz w:val="28"/>
        </w:rPr>
        <w:t>[PRESTACIONES O CONDENA IMPUESTA]</w:t>
      </w:r>
      <w:r>
        <w:rPr>
          <w:rFonts w:ascii="Arial" w:hAnsi="Arial"/>
          <w:b w:val="0"/>
          <w:i w:val="0"/>
          <w:sz w:val="28"/>
        </w:rPr>
        <w:t xml:space="preserve">, sin haber podido oponer </w:t>
      </w:r>
      <w:r>
        <w:rPr>
          <w:rFonts w:ascii="Arial" w:hAnsi="Arial"/>
          <w:b/>
          <w:i w:val="0"/>
          <w:sz w:val="28"/>
        </w:rPr>
        <w:t>[DEFENSAS Y EXCEPCIONES QUE SE VIO IMPEDIDA DE OPONER]</w:t>
      </w:r>
      <w:r>
        <w:rPr>
          <w:rFonts w:ascii="Arial" w:hAnsi="Arial"/>
          <w:b w:val="0"/>
          <w:i w:val="0"/>
          <w:sz w:val="28"/>
        </w:rPr>
        <w:t>, defensas que el tribunal laboral nunca examinó porque nunca se plantearon, precisamente por el vicio que aquí se denuncia. La afectación no es hipotética ni futura: se traduce en una condena dictada sin oír a quien hoy la resiente.</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empezar por la función que cumple el llamamiento a juicio. La doctrina procesal describe los actos de notificación como aquellos dirigidos a que los hechos o actos acontecidos sin la presencia de los interesados sean conocidos por éstos, lo que a su vez posibilita la oportunidad de la defensa, y ubica en ese supuesto al emplazamiento.</w:t>
      </w:r>
      <w:r>
        <w:rPr>
          <w:rFonts w:ascii="Arial" w:hAnsi="Arial"/>
          <w:vertAlign w:val="superscript"/>
        </w:rPr>
        <w:t>2</w:t>
      </w:r>
      <w:r>
        <w:rPr>
          <w:rFonts w:ascii="Arial" w:hAnsi="Arial"/>
          <w:b w:val="0"/>
          <w:i w:val="0"/>
          <w:sz w:val="28"/>
        </w:rPr>
        <w:t xml:space="preserve"> La notificación no es un trámite ritual: es el puente entre el proceso y la persona a quien va a afectar lo que en él se decida.</w:t>
      </w:r>
    </w:p>
    <w:p>
      <w:pPr>
        <w:spacing w:line="360" w:lineRule="auto"/>
        <w:jc w:val="both"/>
      </w:pPr>
      <w:r>
        <w:rPr>
          <w:rFonts w:ascii="Arial" w:hAnsi="Arial"/>
          <w:b w:val="0"/>
          <w:i w:val="0"/>
          <w:sz w:val="28"/>
        </w:rPr>
        <w:t>Por eso la literatura de derechos humanos sitúa el emplazamiento o llamamiento a juicio como el acto procesal de mayor entidad en todo proceso judicial, aquel del que depende que exista certidumbre sobre el conocimiento del procedimiento.</w:t>
      </w:r>
      <w:r>
        <w:rPr>
          <w:rFonts w:ascii="Arial" w:hAnsi="Arial"/>
          <w:vertAlign w:val="superscript"/>
        </w:rPr>
        <w:t>3</w:t>
      </w:r>
      <w:r>
        <w:rPr>
          <w:rFonts w:ascii="Arial" w:hAnsi="Arial"/>
          <w:b w:val="0"/>
          <w:i w:val="0"/>
          <w:sz w:val="28"/>
        </w:rPr>
        <w:t xml:space="preserve"> La consecuencia es evidente: si el expediente no permite comprobar qué se notificó, tampoco permite afirmar que el debido proceso quedó satisfecho.</w:t>
      </w:r>
    </w:p>
    <w:p>
      <w:pPr>
        <w:spacing w:line="360" w:lineRule="auto"/>
        <w:jc w:val="both"/>
      </w:pPr>
      <w:r>
        <w:rPr>
          <w:rFonts w:ascii="Arial" w:hAnsi="Arial"/>
          <w:b w:val="0"/>
          <w:i w:val="0"/>
          <w:sz w:val="28"/>
        </w:rPr>
        <w:t>Ese conjunto de exigencias integra la garantía de audiencia, que permite a las personas ejercer el derecho a contar con una defensa adecuada antes de que un acto de autoridad modifique su esfera jurídica en forma definitiva, con posible privación de la libertad, la propiedad, las posesiones o los derechos.</w:t>
      </w:r>
      <w:r>
        <w:rPr>
          <w:rFonts w:ascii="Arial" w:hAnsi="Arial"/>
          <w:vertAlign w:val="superscript"/>
        </w:rPr>
        <w:t>4</w:t>
      </w:r>
      <w:r>
        <w:rPr>
          <w:rFonts w:ascii="Arial" w:hAnsi="Arial"/>
          <w:b w:val="0"/>
          <w:i w:val="0"/>
          <w:sz w:val="28"/>
        </w:rPr>
        <w:t xml:space="preserve"> Un laudo o sentencia condenatoria dictada en un juicio al que la parte demandada no fue llamada legalmente es, con precisión, esa modificación definitiva sin defensa previa.</w:t>
      </w:r>
    </w:p>
    <w:p>
      <w:pPr>
        <w:spacing w:line="360" w:lineRule="auto"/>
        <w:jc w:val="both"/>
      </w:pPr>
      <w:r>
        <w:rPr>
          <w:rFonts w:ascii="Arial" w:hAnsi="Arial"/>
          <w:b w:val="0"/>
          <w:i w:val="0"/>
          <w:sz w:val="28"/>
        </w:rPr>
        <w:t>En el proceso laboral, el instrumento con el que esa garantía se materializa es la cédula de notificación prevista en el artículo 751 de la Ley Federal del Trabajo, que la persona actuaria debe entregar a quien atiende la diligencia. La pregunta que dividió a los órganos federales fue si basta con que la razón actuarial afirme que se corrió traslado con esa cédula y sus anexos, o si además debe obrar en el expediente copia de ella; un Tribunal Colegiado sostuvo lo primero y un Pleno Regional lo segundo.</w:t>
      </w:r>
    </w:p>
    <w:p>
      <w:pPr>
        <w:spacing w:line="360" w:lineRule="auto"/>
        <w:jc w:val="both"/>
      </w:pPr>
      <w:r>
        <w:rPr>
          <w:rFonts w:ascii="Arial" w:hAnsi="Arial"/>
          <w:b w:val="0"/>
          <w:i w:val="0"/>
          <w:sz w:val="28"/>
        </w:rPr>
        <w:t xml:space="preserve">El Pleno de la Suprema Corte de Justicia de la Nación resolvió esa divergencia al fallar la contradicción de criterios 280/2025 y fijó la jurisprudencia P./J. 177/2026 (12a.), Duodécima Época, registro digital 2032584, de rubro </w:t>
      </w:r>
      <w:r>
        <w:rPr>
          <w:rFonts w:ascii="Arial" w:hAnsi="Arial"/>
          <w:b w:val="0"/>
          <w:i/>
          <w:sz w:val="28"/>
        </w:rPr>
        <w:t>«EMPLAZAMIENTO AL JUICIO LABORAL. PARA SU VALIDEZ, DEBE AGREGARSE AL EXPEDIENTE COPIA DE LA CÉDULA DE NOTIFICACIÓN PREVISTA EN EL ARTÍCULO 751 DE LA LEY FEDERAL DEL TRABAJO.»</w:t>
      </w:r>
      <w:r>
        <w:rPr>
          <w:rFonts w:ascii="Arial" w:hAnsi="Arial"/>
          <w:b w:val="0"/>
          <w:i w:val="0"/>
          <w:sz w:val="28"/>
        </w:rPr>
        <w:t>, publicada en el Semanario Judicial de la Federación el viernes 4 de septiembre de 2026 y de aplicación obligatoria a partir del lunes 7 de septiembre de 2026.</w:t>
      </w:r>
    </w:p>
    <w:p>
      <w:pPr>
        <w:spacing w:line="360" w:lineRule="auto"/>
        <w:jc w:val="both"/>
      </w:pPr>
      <w:r>
        <w:rPr>
          <w:rFonts w:ascii="Arial" w:hAnsi="Arial"/>
          <w:b w:val="0"/>
          <w:i w:val="0"/>
          <w:sz w:val="28"/>
        </w:rPr>
        <w:t xml:space="preserve">Su criterio jurídico es el siguiente: </w:t>
      </w:r>
      <w:r>
        <w:rPr>
          <w:rFonts w:ascii="Arial" w:hAnsi="Arial"/>
          <w:b w:val="0"/>
          <w:i/>
          <w:sz w:val="28"/>
        </w:rPr>
        <w:t>«Para que sea válido el emplazamiento al juicio laboral, la persona actuaria debe agregar al expediente copia de la cédula de notificación prevista en el artículo 751 de la Ley Federal del Trabajo, porque esa constancia es el elemento objetivo que permite verificar la legalidad de la diligencia cuando se le atribuye algún vicio»</w:t>
      </w:r>
      <w:r>
        <w:rPr>
          <w:rFonts w:ascii="Arial" w:hAnsi="Arial"/>
          <w:b w:val="0"/>
          <w:i w:val="0"/>
          <w:sz w:val="28"/>
        </w:rPr>
        <w:t>.</w:t>
      </w:r>
    </w:p>
    <w:p>
      <w:pPr>
        <w:spacing w:line="360" w:lineRule="auto"/>
        <w:jc w:val="both"/>
      </w:pPr>
      <w:r>
        <w:rPr>
          <w:rFonts w:ascii="Arial" w:hAnsi="Arial"/>
          <w:b w:val="0"/>
          <w:i w:val="0"/>
          <w:sz w:val="28"/>
        </w:rPr>
        <w:t xml:space="preserve">En la justificación, el Pleno explicó que </w:t>
      </w:r>
      <w:r>
        <w:rPr>
          <w:rFonts w:ascii="Arial" w:hAnsi="Arial"/>
          <w:b w:val="0"/>
          <w:i/>
          <w:sz w:val="28"/>
        </w:rPr>
        <w:t>«la relevancia de la figura del emplazamiento a juicio en el ámbito constitucional radica en que contiene la materialización del derecho de audiencia, como parte de las formalidades esenciales del procedimiento, cuyo contenido deriva del segundo párrafo del artículo 14 de la Constitución Política de los Estados Unidos Mexicanos»</w:t>
      </w:r>
      <w:r>
        <w:rPr>
          <w:rFonts w:ascii="Arial" w:hAnsi="Arial"/>
          <w:b w:val="0"/>
          <w:i w:val="0"/>
          <w:sz w:val="28"/>
        </w:rPr>
        <w:t>.</w:t>
      </w:r>
    </w:p>
    <w:p>
      <w:pPr>
        <w:spacing w:line="360" w:lineRule="auto"/>
        <w:jc w:val="both"/>
      </w:pPr>
      <w:r>
        <w:rPr>
          <w:rFonts w:ascii="Arial" w:hAnsi="Arial"/>
          <w:b w:val="0"/>
          <w:i w:val="0"/>
          <w:sz w:val="28"/>
        </w:rPr>
        <w:t xml:space="preserve">Añadió que la incorporación de la copia al expediente </w:t>
      </w:r>
      <w:r>
        <w:rPr>
          <w:rFonts w:ascii="Arial" w:hAnsi="Arial"/>
          <w:b w:val="0"/>
          <w:i/>
          <w:sz w:val="28"/>
        </w:rPr>
        <w:t>«constituye un elemento objetivo que posibilita verificar la legalidad del desarrollo de esa diligencia y, en caso de alegarse algún vicio en el emplazamiento a juicio, será susceptible de examinar su regularidad a partir de esa constancia»</w:t>
      </w:r>
      <w:r>
        <w:rPr>
          <w:rFonts w:ascii="Arial" w:hAnsi="Arial"/>
          <w:b w:val="0"/>
          <w:i w:val="0"/>
          <w:sz w:val="28"/>
        </w:rPr>
        <w:t xml:space="preserve">, y concluyó que </w:t>
      </w:r>
      <w:r>
        <w:rPr>
          <w:rFonts w:ascii="Arial" w:hAnsi="Arial"/>
          <w:b w:val="0"/>
          <w:i/>
          <w:sz w:val="28"/>
        </w:rPr>
        <w:t>«la ausencia de la copia de la cédula de notificación al sumario constituye un vicio en el emplazamiento a juicio que vulnera el derecho de audiencia y, con este, las formalidades esenciales del procedimiento»</w:t>
      </w:r>
      <w:r>
        <w:rPr>
          <w:rFonts w:ascii="Arial" w:hAnsi="Arial"/>
          <w:b w:val="0"/>
          <w:i w:val="0"/>
          <w:sz w:val="28"/>
        </w:rPr>
        <w:t>.</w:t>
      </w:r>
    </w:p>
    <w:p>
      <w:pPr>
        <w:spacing w:line="360" w:lineRule="auto"/>
        <w:jc w:val="both"/>
      </w:pPr>
      <w:r>
        <w:rPr>
          <w:rFonts w:ascii="Arial" w:hAnsi="Arial"/>
          <w:b w:val="0"/>
          <w:i w:val="0"/>
          <w:sz w:val="28"/>
        </w:rPr>
        <w:t>Ese criterio vincula al Juzgado de Distrito que conocerá de esta demanda. Conforme al artículo 217, párrafo primero, de la Ley de Amparo, la jurisprudencia que establece la Suprema Corte de Justicia de la Nación es obligatoria para todas las autoridades jurisdiccionales de la Federación y de las entidades federativas, con excepción de la propia Suprema Corte. Por tratarse de jurisprudencia del Pleno, obliga igualmente al tribunal laboral responsable, que no está comprendido en esa excepción, desde el lunes 7 de septiembre de 2026.</w:t>
      </w:r>
    </w:p>
    <w:p>
      <w:pPr>
        <w:spacing w:line="360" w:lineRule="auto"/>
        <w:jc w:val="both"/>
      </w:pPr>
      <w:r>
        <w:rPr>
          <w:rFonts w:ascii="Arial" w:hAnsi="Arial"/>
          <w:b w:val="0"/>
          <w:i w:val="0"/>
          <w:sz w:val="28"/>
        </w:rPr>
        <w:t>Conviene precisar el alcance temporal del criterio. La jurisprudencia no crea un requisito nuevo: fija el sentido que ya tenían el artículo 751 de la Ley Federal del Trabajo y el artículo 14, párrafo segundo, de la Constitución en cuanto a la posibilidad de verificar el emplazamiento, de modo que el órgano de amparo que resuelva a partir de la fecha en que el criterio se volvió obligatorio debe aplicarlo al calificar la diligencia, con independencia de la fecha en que ésta se haya practicado.</w:t>
      </w:r>
    </w:p>
    <w:p>
      <w:pPr>
        <w:spacing w:line="360" w:lineRule="auto"/>
        <w:jc w:val="both"/>
      </w:pPr>
      <w:r>
        <w:rPr>
          <w:rFonts w:ascii="Arial" w:hAnsi="Arial"/>
          <w:b w:val="0"/>
          <w:i w:val="0"/>
          <w:sz w:val="28"/>
        </w:rPr>
        <w:t>Aplicarlo de esa manera no le atribuye el efecto retroactivo en perjuicio de persona alguna que prohíbe el artículo 217, último párrafo, de la Ley de Amparo, porque no se reprocha a nadie haber incumplido una exigencia inexistente al tiempo de la diligencia: lo que se resuelve, conforme al criterio vigente al momento de fallar, es si el emplazamiento que hoy se combate puede tenerse por verificado con los elementos que el expediente conserva, y esa constancia o falta de ella es un hecho actual del sumario.</w:t>
      </w:r>
    </w:p>
    <w:p>
      <w:pPr>
        <w:spacing w:line="360" w:lineRule="auto"/>
        <w:jc w:val="both"/>
      </w:pPr>
      <w:r>
        <w:rPr>
          <w:rFonts w:ascii="Arial" w:hAnsi="Arial"/>
          <w:b/>
          <w:sz w:val="28"/>
        </w:rPr>
        <w:t>IV. Aplicación al caso concreto y refutación de la validación del emplazamiento.</w:t>
      </w:r>
    </w:p>
    <w:p>
      <w:pPr>
        <w:spacing w:line="360" w:lineRule="auto"/>
        <w:jc w:val="both"/>
      </w:pPr>
      <w:r>
        <w:rPr>
          <w:rFonts w:ascii="Arial" w:hAnsi="Arial"/>
          <w:b w:val="0"/>
          <w:i w:val="0"/>
          <w:sz w:val="28"/>
        </w:rPr>
        <w:t xml:space="preserve">Los hechos del expediente laboral encuadran sin esfuerzo en la premisa. En </w:t>
      </w:r>
      <w:r>
        <w:rPr>
          <w:rFonts w:ascii="Arial" w:hAnsi="Arial"/>
          <w:b/>
          <w:i w:val="0"/>
          <w:sz w:val="28"/>
        </w:rPr>
        <w:t>[FOJAS DEL EXPEDIENTE EN QUE OBRA LA RAZÓN ACTUARIAL]</w:t>
      </w:r>
      <w:r>
        <w:rPr>
          <w:rFonts w:ascii="Arial" w:hAnsi="Arial"/>
          <w:b w:val="0"/>
          <w:i w:val="0"/>
          <w:sz w:val="28"/>
        </w:rPr>
        <w:t xml:space="preserve"> obra la razón levantada el </w:t>
      </w:r>
      <w:r>
        <w:rPr>
          <w:rFonts w:ascii="Arial" w:hAnsi="Arial"/>
          <w:b/>
          <w:i w:val="0"/>
          <w:sz w:val="28"/>
        </w:rPr>
        <w:t>[FECHA DE LA DILIGENCIA DE EMPLAZAMIENTO]</w:t>
      </w:r>
      <w:r>
        <w:rPr>
          <w:rFonts w:ascii="Arial" w:hAnsi="Arial"/>
          <w:b w:val="0"/>
          <w:i w:val="0"/>
          <w:sz w:val="28"/>
        </w:rPr>
        <w:t xml:space="preserve">, del siguiente tenor: </w:t>
      </w:r>
      <w:r>
        <w:rPr>
          <w:rFonts w:ascii="Arial" w:hAnsi="Arial"/>
          <w:b/>
          <w:i w:val="0"/>
          <w:sz w:val="28"/>
        </w:rPr>
        <w:t>[TRANSCRIPCIÓN DE LA RAZÓN ACTUARIAL]</w:t>
      </w:r>
      <w:r>
        <w:rPr>
          <w:rFonts w:ascii="Arial" w:hAnsi="Arial"/>
          <w:b w:val="0"/>
          <w:i w:val="0"/>
          <w:sz w:val="28"/>
        </w:rPr>
        <w:t>. En ninguna otra parte del expediente obra copia de la cédula de notificación: no fue agregada por la persona actuaria ni aparece relacionada entre las actuaciones, lo que puede constatarse en las copias certificadas que se acompañan a esta demanda.</w:t>
      </w:r>
    </w:p>
    <w:p>
      <w:pPr>
        <w:spacing w:line="360" w:lineRule="auto"/>
        <w:jc w:val="both"/>
      </w:pPr>
      <w:r>
        <w:rPr>
          <w:rFonts w:ascii="Arial" w:hAnsi="Arial"/>
          <w:b w:val="0"/>
          <w:i w:val="0"/>
          <w:sz w:val="28"/>
        </w:rPr>
        <w:t>La subsunción es directa. La norma, interpretada con carácter obligatorio por el Pleno, exige que la copia de la cédula obre en el expediente para que el emplazamiento sea válido; en el juicio de origen esa copia no obra; luego el emplazamiento carece de validez y arrastra consigo todo lo actuado con posterioridad. No se trata de una irregularidad menor susceptible de convalidarse por el paso del tiempo, sino de la ausencia del único elemento que permitía verificar la diligencia cuando se le atribuye un vicio.</w:t>
      </w:r>
    </w:p>
    <w:p>
      <w:pPr>
        <w:spacing w:line="360" w:lineRule="auto"/>
        <w:jc w:val="both"/>
      </w:pPr>
      <w:r>
        <w:rPr>
          <w:rFonts w:ascii="Arial" w:hAnsi="Arial"/>
          <w:b w:val="0"/>
          <w:i w:val="0"/>
          <w:sz w:val="28"/>
        </w:rPr>
        <w:t>Si la autoridad responsable pretendiera sostener la validez del emplazamiento con la sola afirmación contenida en la razón actuarial, incurriría en una petición de principio. Esta falacia consiste en demostrar por sí mismo lo que no está claro ni es conocido por sí mismo, esto es, en no demostrar.</w:t>
      </w:r>
      <w:r>
        <w:rPr>
          <w:rFonts w:ascii="Arial" w:hAnsi="Arial"/>
          <w:vertAlign w:val="superscript"/>
        </w:rPr>
        <w:t>5</w:t>
      </w:r>
      <w:r>
        <w:rPr>
          <w:rFonts w:ascii="Arial" w:hAnsi="Arial"/>
          <w:b w:val="0"/>
          <w:i w:val="0"/>
          <w:sz w:val="28"/>
        </w:rPr>
        <w:t xml:space="preserve"> Lo que debe acreditarse es que la cédula se entregó, y lo único que se ofrece como prueba de ello es el enunciado del acta que dice que se entregó.</w:t>
      </w:r>
    </w:p>
    <w:p>
      <w:pPr>
        <w:spacing w:line="360" w:lineRule="auto"/>
        <w:jc w:val="both"/>
      </w:pPr>
      <w:r>
        <w:rPr>
          <w:rFonts w:ascii="Arial" w:hAnsi="Arial"/>
          <w:b w:val="0"/>
          <w:i w:val="0"/>
          <w:sz w:val="28"/>
        </w:rPr>
        <w:t>La estructura del error se aprecia mejor al enunciarla: la diligencia es legal porque la razón dice que fue legal, y la razón merece crédito porque documenta una diligencia legal. El razonamiento gira sobre sí mismo y no aporta ningún dato externo que permita contrastarlo. Precisamente para romper ese círculo el Pleno exigió una constancia distinta del dicho de quien practicó la diligencia: la copia de la cédula, que puede cotejarse con la demanda y con los anexos que se dicen entregados.</w:t>
      </w:r>
    </w:p>
    <w:p>
      <w:pPr>
        <w:spacing w:line="360" w:lineRule="auto"/>
        <w:jc w:val="both"/>
      </w:pPr>
      <w:r>
        <w:rPr>
          <w:rFonts w:ascii="Arial" w:hAnsi="Arial"/>
          <w:b w:val="0"/>
          <w:i w:val="0"/>
          <w:sz w:val="28"/>
        </w:rPr>
        <w:t>A ello se suma la falacia de eludir la carga de la prueba, que se comete cuando no se aportan razones que fundamenten la conclusión o se pretende que las aporte el oponente.</w:t>
      </w:r>
      <w:r>
        <w:rPr>
          <w:rFonts w:ascii="Arial" w:hAnsi="Arial"/>
          <w:vertAlign w:val="superscript"/>
        </w:rPr>
        <w:t>6</w:t>
      </w:r>
      <w:r>
        <w:rPr>
          <w:rFonts w:ascii="Arial" w:hAnsi="Arial"/>
          <w:b w:val="0"/>
          <w:i w:val="0"/>
          <w:sz w:val="28"/>
        </w:rPr>
        <w:t xml:space="preserve"> Convalidar el emplazamiento con la sola razón actuarial traslada a la persona quejosa la tarea imposible de demostrar que no recibió un documento que nadie agregó al expediente, es decir, la prueba de un hecho negativo cuyo soporte documental debía obrar en poder del propio órgano.</w:t>
      </w:r>
    </w:p>
    <w:p>
      <w:pPr>
        <w:spacing w:line="360" w:lineRule="auto"/>
        <w:jc w:val="both"/>
      </w:pPr>
      <w:r>
        <w:rPr>
          <w:rFonts w:ascii="Arial" w:hAnsi="Arial"/>
          <w:b w:val="0"/>
          <w:i w:val="0"/>
          <w:sz w:val="28"/>
        </w:rPr>
        <w:t>No obsta la presunción de regularidad que suele atribuirse a las actuaciones judiciales. Esa presunción admite prueba en contrario y, sobre todo, supone que exista materia sobre la cual practicar el contraste; cuando el expediente no conserva la constancia de lo entregado, la presunción deja de ser un punto de partida razonable y se convierte en una barrera infranqueable. El Pleno lo dijo sin rodeos: la copia de la cédula es el elemento objetivo que hace posible ese examen.</w:t>
      </w:r>
    </w:p>
    <w:p>
      <w:pPr>
        <w:spacing w:line="360" w:lineRule="auto"/>
        <w:jc w:val="both"/>
      </w:pPr>
      <w:r>
        <w:rPr>
          <w:rFonts w:ascii="Arial" w:hAnsi="Arial"/>
          <w:b w:val="0"/>
          <w:i w:val="0"/>
          <w:sz w:val="28"/>
        </w:rPr>
        <w:t>La consecuencia sistémica de validar la práctica contraria confirma el error. Si bastara la afirmación del acta, ninguna persona demandada podría controvertir con éxito un emplazamiento irregular, porque el único documento capaz de desmentir el dicho actuarial sería justamente el que no se agregó. El derecho de audiencia quedaría entregado a la palabra de quien practicó la diligencia, sin control posible, y las formalidades esenciales del procedimiento se volverían una fórmula vacía.</w:t>
      </w:r>
    </w:p>
    <w:p>
      <w:pPr>
        <w:spacing w:line="360" w:lineRule="auto"/>
        <w:jc w:val="both"/>
      </w:pPr>
      <w:r>
        <w:rPr>
          <w:rFonts w:ascii="Arial" w:hAnsi="Arial"/>
          <w:b w:val="0"/>
          <w:i w:val="0"/>
          <w:sz w:val="28"/>
        </w:rPr>
        <w:t xml:space="preserve">La trascendencia al resultado del juicio es total, no parcial. No se está ante una prueba desechada ni ante un plazo mal computado, sino ante la ausencia del acto que abre la posibilidad misma de defenderse: sin emplazamiento válido no hubo contestación, ni excepciones, ni ofrecimiento de pruebas, ni alegatos de la parte demandada, y la resolución de </w:t>
      </w:r>
      <w:r>
        <w:rPr>
          <w:rFonts w:ascii="Arial" w:hAnsi="Arial"/>
          <w:b/>
          <w:i w:val="0"/>
          <w:sz w:val="28"/>
        </w:rPr>
        <w:t>[FECHA DEL LAUDO O SENTENCIA DEFINITIVA]</w:t>
      </w:r>
      <w:r>
        <w:rPr>
          <w:rFonts w:ascii="Arial" w:hAnsi="Arial"/>
          <w:b w:val="0"/>
          <w:i w:val="0"/>
          <w:sz w:val="28"/>
        </w:rPr>
        <w:t xml:space="preserve"> se dictó sobre un debate en el que sólo una de las partes fue escuchada.</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artículo 14, párrafo segundo, de la Constitución exige que nadie sea privado de sus derechos sino mediante juicio seguido con las formalidades esenciales del procedimiento; el Pleno de la Suprema Corte de Justicia de la Nación fijó, con carácter obligatorio, que el emplazamiento al juicio laboral sólo es válido si la copia de la cédula del artículo 751 de la Ley Federal del Trabajo obra en el expediente; en el juicio de origen esa copia no obra; luego el emplazamiento es ilegal y lo actuado a partir de él carece de sustento.</w:t>
      </w:r>
    </w:p>
    <w:p>
      <w:pPr>
        <w:spacing w:line="360" w:lineRule="auto"/>
        <w:jc w:val="both"/>
      </w:pPr>
      <w:r>
        <w:rPr>
          <w:rFonts w:ascii="Arial" w:hAnsi="Arial"/>
          <w:b w:val="0"/>
          <w:i w:val="0"/>
          <w:sz w:val="28"/>
        </w:rPr>
        <w:t>Por lo expuesto, procede declarar fundado el presente concepto de violación y conceder el amparo y la protección de la Justicia Federal, con fundamento en el artículo 77, fracción I, de la Ley de Amparo, para el efecto de restituir a la persona quejosa en el pleno goce del derecho violado, restableciendo las cosas al estado que guardaban antes de la violación.</w:t>
      </w:r>
    </w:p>
    <w:p>
      <w:pPr>
        <w:spacing w:line="360" w:lineRule="auto"/>
        <w:jc w:val="both"/>
      </w:pPr>
      <w:r>
        <w:rPr>
          <w:rFonts w:ascii="Arial" w:hAnsi="Arial"/>
          <w:b w:val="0"/>
          <w:i w:val="0"/>
          <w:sz w:val="28"/>
        </w:rPr>
        <w:t xml:space="preserve">En términos concretos, los efectos deben consistir en que el </w:t>
      </w:r>
      <w:r>
        <w:rPr>
          <w:rFonts w:ascii="Arial" w:hAnsi="Arial"/>
          <w:b/>
          <w:i w:val="0"/>
          <w:sz w:val="28"/>
        </w:rPr>
        <w:t>[TRIBUNAL LABORAL RESPONSABLE]</w:t>
      </w:r>
      <w:r>
        <w:rPr>
          <w:rFonts w:ascii="Arial" w:hAnsi="Arial"/>
          <w:b w:val="0"/>
          <w:i w:val="0"/>
          <w:sz w:val="28"/>
        </w:rPr>
        <w:t xml:space="preserve"> deje insubsistente el emplazamiento de </w:t>
      </w:r>
      <w:r>
        <w:rPr>
          <w:rFonts w:ascii="Arial" w:hAnsi="Arial"/>
          <w:b/>
          <w:i w:val="0"/>
          <w:sz w:val="28"/>
        </w:rPr>
        <w:t>[FECHA DE LA DILIGENCIA DE EMPLAZAMIENTO]</w:t>
      </w:r>
      <w:r>
        <w:rPr>
          <w:rFonts w:ascii="Arial" w:hAnsi="Arial"/>
          <w:b w:val="0"/>
          <w:i w:val="0"/>
          <w:sz w:val="28"/>
        </w:rPr>
        <w:t xml:space="preserve"> y todo lo actuado con posterioridad, incluidos la resolución definitiva y los actos de ejecución, y ordene emplazar de nueva cuenta a la persona quejosa conforme a la ley, agregando al expediente la copia de la cédula de notificación, para que a partir de ese momento el juicio se siga con audiencia de ambas partes.</w:t>
      </w:r>
    </w:p>
    <w:p>
      <w:pPr>
        <w:spacing w:line="360" w:lineRule="auto"/>
        <w:jc w:val="both"/>
      </w:pPr>
      <w:r>
        <w:rPr>
          <w:rFonts w:ascii="Arial" w:hAnsi="Arial"/>
          <w:b w:val="0"/>
          <w:i w:val="0"/>
          <w:sz w:val="28"/>
        </w:rPr>
        <w:t>Se solicita el estudio preferente de este concepto, porque su acogimiento otorga el mayor beneficio posible: no corrige un tramo aislado del procedimiento, sino que devuelve a la persona quejosa la oportunidad íntegra de defenderse desde el inicio del juicio y hace innecesario el examen de cualquier planteamiento dirigido al fondo de la resolución reclamada.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58-59.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1561.</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349.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537.</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38.</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