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28"/>
        </w:rPr>
        <w:t>MACHOTE. RECURSO DE QUEJA EN AMPARO INDIRECTO. COMPETENCIA DEL TRIBUNAL COLEGIADO EN MATERIA DE TRABAJO</w:t>
      </w:r>
    </w:p>
    <w:p>
      <w:pPr>
        <w:jc w:val="center"/>
      </w:pPr>
      <w:r>
        <w:rPr>
          <w:rFonts w:ascii="Arial" w:hAnsi="Arial"/>
          <w:sz w:val="20"/>
        </w:rPr>
        <w:t>Machote gratuito de Academia de Amparo y Derecho — academiadeamparo.com</w:t>
      </w:r>
    </w:p>
    <w:p/>
    <w:p>
      <w:r>
        <w:rPr>
          <w:rFonts w:ascii="Arial" w:hAnsi="Arial"/>
          <w:b/>
          <w:sz w:val="24"/>
        </w:rPr>
        <w:t>CÓMO USAR ESTE MACHOTE</w:t>
      </w:r>
    </w:p>
    <w:p>
      <w:pPr>
        <w:spacing w:line="360" w:lineRule="auto"/>
        <w:jc w:val="both"/>
      </w:pPr>
      <w:r>
        <w:rPr>
          <w:rFonts w:ascii="Arial" w:hAnsi="Arial"/>
          <w:b w:val="0"/>
          <w:i w:val="0"/>
          <w:sz w:val="24"/>
        </w:rPr>
        <w:t>Descarga el machote, léelo completo y decide dónde lo vas a colocar: como apartado previo del escrito de recurso de queja, antes de los agravios, o como promoción autónoma para sostener la competencia ante el Tribunal Colegiado que la cuestione o la decline.</w:t>
      </w:r>
    </w:p>
    <w:p>
      <w:pPr>
        <w:spacing w:line="360" w:lineRule="auto"/>
        <w:jc w:val="both"/>
      </w:pPr>
      <w:r>
        <w:rPr>
          <w:rFonts w:ascii="Arial" w:hAnsi="Arial"/>
          <w:b w:val="0"/>
          <w:i w:val="0"/>
          <w:sz w:val="24"/>
        </w:rPr>
        <w:t>Antes de llenarlo, reúne cuatro documentos: la normativa interna que prevé la gratificación, la solicitud de pago y el acto que la negó, la demanda de amparo indirecto y el auto que la desechó, junto con la constancia de su notificación. Verifica que la autoridad responsable sea la dependencia con la que existió la relación de trabajo, porque de ahí depende el segundo elemento del criterio.</w:t>
      </w:r>
    </w:p>
    <w:p>
      <w:pPr>
        <w:spacing w:line="360" w:lineRule="auto"/>
        <w:jc w:val="both"/>
      </w:pPr>
      <w:r>
        <w:rPr>
          <w:rFonts w:ascii="Arial" w:hAnsi="Arial"/>
          <w:b w:val="0"/>
          <w:i w:val="0"/>
          <w:sz w:val="24"/>
        </w:rPr>
        <w:t>Después llena los campos editables, conserva la transcripción del rubro y del criterio jurídico tal como vienen y presenta el escrito dentro del plazo que fija la Ley de Amparo para el recurso de queja, contado desde la notificación del auto de desechamiento.</w:t>
      </w:r>
    </w:p>
    <w:p>
      <w:pPr>
        <w:spacing w:line="360" w:lineRule="auto"/>
        <w:jc w:val="both"/>
      </w:pPr>
      <w:r>
        <w:rPr>
          <w:rFonts w:ascii="Arial" w:hAnsi="Arial"/>
          <w:b w:val="0"/>
          <w:i w:val="0"/>
          <w:sz w:val="24"/>
        </w:rPr>
        <w:t>Campos editables y qué poner en cada uno:</w:t>
      </w:r>
    </w:p>
    <w:p>
      <w:pPr>
        <w:spacing w:line="360" w:lineRule="auto"/>
        <w:jc w:val="both"/>
      </w:pPr>
      <w:r>
        <w:rPr>
          <w:rFonts w:ascii="Arial" w:hAnsi="Arial"/>
          <w:b/>
          <w:i w:val="0"/>
          <w:sz w:val="24"/>
        </w:rPr>
        <w:t>[FECHA DEL AUTO DE DESECHAMIENTO]</w:t>
      </w:r>
      <w:r>
        <w:rPr>
          <w:rFonts w:ascii="Arial" w:hAnsi="Arial"/>
          <w:b w:val="0"/>
          <w:i w:val="0"/>
          <w:sz w:val="24"/>
        </w:rPr>
        <w:t>: la fecha exacta del auto por el que el Juzgado de Distrito desechó la demanda.</w:t>
      </w:r>
    </w:p>
    <w:p>
      <w:pPr>
        <w:spacing w:line="360" w:lineRule="auto"/>
        <w:jc w:val="both"/>
      </w:pPr>
      <w:r>
        <w:rPr>
          <w:rFonts w:ascii="Arial" w:hAnsi="Arial"/>
          <w:b/>
          <w:i w:val="0"/>
          <w:sz w:val="24"/>
        </w:rPr>
        <w:t>[JUZGADO DE DISTRITO DE ORIGEN]</w:t>
      </w:r>
      <w:r>
        <w:rPr>
          <w:rFonts w:ascii="Arial" w:hAnsi="Arial"/>
          <w:b w:val="0"/>
          <w:i w:val="0"/>
          <w:sz w:val="24"/>
        </w:rPr>
        <w:t>: la denominación completa del juzgado que dictó ese auto.</w:t>
      </w:r>
    </w:p>
    <w:p>
      <w:pPr>
        <w:spacing w:line="360" w:lineRule="auto"/>
        <w:jc w:val="both"/>
      </w:pPr>
      <w:r>
        <w:rPr>
          <w:rFonts w:ascii="Arial" w:hAnsi="Arial"/>
          <w:b/>
          <w:i w:val="0"/>
          <w:sz w:val="24"/>
        </w:rPr>
        <w:t>[NÚMERO DE EXPEDIENTE DE AMPARO INDIRECTO]</w:t>
      </w:r>
      <w:r>
        <w:rPr>
          <w:rFonts w:ascii="Arial" w:hAnsi="Arial"/>
          <w:b w:val="0"/>
          <w:i w:val="0"/>
          <w:sz w:val="24"/>
        </w:rPr>
        <w:t>: el número con el que se registró la demanda desechada.</w:t>
      </w:r>
    </w:p>
    <w:p>
      <w:pPr>
        <w:spacing w:line="360" w:lineRule="auto"/>
        <w:jc w:val="both"/>
      </w:pPr>
      <w:r>
        <w:rPr>
          <w:rFonts w:ascii="Arial" w:hAnsi="Arial"/>
          <w:b/>
          <w:i w:val="0"/>
          <w:sz w:val="24"/>
        </w:rPr>
        <w:t>[NOMBRE DE LA PARTE QUEJOSA Y RECURRENTE]</w:t>
      </w:r>
      <w:r>
        <w:rPr>
          <w:rFonts w:ascii="Arial" w:hAnsi="Arial"/>
          <w:b w:val="0"/>
          <w:i w:val="0"/>
          <w:sz w:val="24"/>
        </w:rPr>
        <w:t>: la persona que promovió el amparo y ahora recurre.</w:t>
      </w:r>
    </w:p>
    <w:p>
      <w:pPr>
        <w:spacing w:line="360" w:lineRule="auto"/>
        <w:jc w:val="both"/>
      </w:pPr>
      <w:r>
        <w:rPr>
          <w:rFonts w:ascii="Arial" w:hAnsi="Arial"/>
          <w:b/>
          <w:i w:val="0"/>
          <w:sz w:val="24"/>
        </w:rPr>
        <w:t>[DEPENDENCIA EDUCATIVA SEÑALADA COMO AUTORIDAD RESPONSABLE]</w:t>
      </w:r>
      <w:r>
        <w:rPr>
          <w:rFonts w:ascii="Arial" w:hAnsi="Arial"/>
          <w:b w:val="0"/>
          <w:i w:val="0"/>
          <w:sz w:val="24"/>
        </w:rPr>
        <w:t>: la denominación oficial de la autoridad que negó la gratificación.</w:t>
      </w:r>
    </w:p>
    <w:p>
      <w:pPr>
        <w:spacing w:line="360" w:lineRule="auto"/>
        <w:jc w:val="both"/>
      </w:pPr>
      <w:r>
        <w:rPr>
          <w:rFonts w:ascii="Arial" w:hAnsi="Arial"/>
          <w:b/>
          <w:i w:val="0"/>
          <w:sz w:val="24"/>
        </w:rPr>
        <w:t>[DENOMINACIÓN DE LA NORMATIVA INTERNA QUE PREVÉ LA GRATIFICACIÓN]</w:t>
      </w:r>
      <w:r>
        <w:rPr>
          <w:rFonts w:ascii="Arial" w:hAnsi="Arial"/>
          <w:b w:val="0"/>
          <w:i w:val="0"/>
          <w:sz w:val="24"/>
        </w:rPr>
        <w:t>: el nombre completo del manual, reglamento o instrumento interno, con su fecha de expedición si la tiene.</w:t>
      </w:r>
    </w:p>
    <w:p>
      <w:pPr>
        <w:spacing w:line="360" w:lineRule="auto"/>
        <w:jc w:val="both"/>
      </w:pPr>
      <w:r>
        <w:rPr>
          <w:rFonts w:ascii="Arial" w:hAnsi="Arial"/>
          <w:b/>
          <w:i w:val="0"/>
          <w:sz w:val="24"/>
        </w:rPr>
        <w:t>[FECHA DE NOTIFICACIÓN DEL AUTO DE DESECHAMIENTO]</w:t>
      </w:r>
      <w:r>
        <w:rPr>
          <w:rFonts w:ascii="Arial" w:hAnsi="Arial"/>
          <w:b w:val="0"/>
          <w:i w:val="0"/>
          <w:sz w:val="24"/>
        </w:rPr>
        <w:t>: la fecha en que se te notificó, para acreditar la oportunidad del recurso.</w:t>
      </w:r>
    </w:p>
    <w:p>
      <w:pPr>
        <w:spacing w:line="360" w:lineRule="auto"/>
        <w:jc w:val="both"/>
      </w:pPr>
      <w:r>
        <w:rPr>
          <w:rFonts w:ascii="Arial" w:hAnsi="Arial"/>
          <w:b/>
          <w:i w:val="0"/>
          <w:sz w:val="24"/>
        </w:rPr>
        <w:t>[TRIBUNAL COLEGIADO ANTE EL QUE SE SOSTIENE LA COMPETENCIA]</w:t>
      </w:r>
      <w:r>
        <w:rPr>
          <w:rFonts w:ascii="Arial" w:hAnsi="Arial"/>
          <w:b w:val="0"/>
          <w:i w:val="0"/>
          <w:sz w:val="24"/>
        </w:rPr>
        <w:t>: el órgano al que se dirige la petición, con su especialización y circuito.</w:t>
      </w:r>
    </w:p>
    <w:p>
      <w:pPr>
        <w:spacing w:line="360" w:lineRule="auto"/>
        <w:jc w:val="both"/>
      </w:pPr>
      <w:r>
        <w:rPr>
          <w:rFonts w:ascii="Arial" w:hAnsi="Arial"/>
          <w:b/>
          <w:i w:val="0"/>
          <w:sz w:val="24"/>
        </w:rPr>
        <w:t>[ÓRGANO QUE DECLINÓ O CUESTIONÓ LA COMPETENCIA]</w:t>
      </w:r>
      <w:r>
        <w:rPr>
          <w:rFonts w:ascii="Arial" w:hAnsi="Arial"/>
          <w:b w:val="0"/>
          <w:i w:val="0"/>
          <w:sz w:val="24"/>
        </w:rPr>
        <w:t>: el tribunal que atribuyó el asunto a la materia administrativa; si el debate aún no se abre, suprime el pasaje o adáptalo a modo preventivo.</w:t>
      </w:r>
    </w:p>
    <w:p>
      <w:pPr>
        <w:spacing w:line="360" w:lineRule="auto"/>
        <w:jc w:val="both"/>
      </w:pPr>
      <w:r>
        <w:rPr>
          <w:rFonts w:ascii="Arial" w:hAnsi="Arial"/>
          <w:b/>
          <w:i w:val="0"/>
          <w:sz w:val="24"/>
        </w:rPr>
        <w:t>[RAZONAMIENTO DEL ACUERDO QUE DECLINÓ LA COMPETENCIA]</w:t>
      </w:r>
      <w:r>
        <w:rPr>
          <w:rFonts w:ascii="Arial" w:hAnsi="Arial"/>
          <w:b w:val="0"/>
          <w:i w:val="0"/>
          <w:sz w:val="24"/>
        </w:rPr>
        <w:t>: la parte del acuerdo en que se explica por qué se consideró administrativo, transcrita con fidelidad.</w:t>
      </w:r>
    </w:p>
    <w:p>
      <w:pPr>
        <w:spacing w:line="360" w:lineRule="auto"/>
        <w:jc w:val="both"/>
      </w:pPr>
      <w:r>
        <w:rPr>
          <w:rFonts w:ascii="Arial" w:hAnsi="Arial"/>
          <w:b/>
          <w:i w:val="0"/>
          <w:sz w:val="24"/>
        </w:rPr>
        <w:t>[ANTIGÜEDAD Y CATEGORÍA DE LA PARTE QUEJOSA]</w:t>
      </w:r>
      <w:r>
        <w:rPr>
          <w:rFonts w:ascii="Arial" w:hAnsi="Arial"/>
          <w:b w:val="0"/>
          <w:i w:val="0"/>
          <w:sz w:val="24"/>
        </w:rPr>
        <w:t>: los años de servicio y la plaza o categoría con que se prestaron.</w:t>
      </w:r>
    </w:p>
    <w:p>
      <w:pPr>
        <w:spacing w:line="360" w:lineRule="auto"/>
        <w:jc w:val="both"/>
      </w:pPr>
      <w:r>
        <w:rPr>
          <w:rFonts w:ascii="Arial" w:hAnsi="Arial"/>
          <w:b/>
          <w:i w:val="0"/>
          <w:sz w:val="24"/>
        </w:rPr>
        <w:t>[FECHA DE LA RENUNCIA O DE LA BAJA POR JUBILACIÓN]</w:t>
      </w:r>
      <w:r>
        <w:rPr>
          <w:rFonts w:ascii="Arial" w:hAnsi="Arial"/>
          <w:b w:val="0"/>
          <w:i w:val="0"/>
          <w:sz w:val="24"/>
        </w:rPr>
        <w:t>: la fecha del documento con el que se separó del servicio con motivo de la jubilación.</w:t>
      </w:r>
    </w:p>
    <w:p>
      <w:pPr>
        <w:spacing w:line="360" w:lineRule="auto"/>
        <w:jc w:val="both"/>
      </w:pPr>
      <w:r>
        <w:rPr>
          <w:rFonts w:ascii="Arial" w:hAnsi="Arial"/>
          <w:b/>
          <w:i w:val="0"/>
          <w:sz w:val="24"/>
        </w:rPr>
        <w:t>[FECHA DEL ACTO QUE NEGÓ LA GRATIFICACIÓN]</w:t>
      </w:r>
      <w:r>
        <w:rPr>
          <w:rFonts w:ascii="Arial" w:hAnsi="Arial"/>
          <w:b w:val="0"/>
          <w:i w:val="0"/>
          <w:sz w:val="24"/>
        </w:rPr>
        <w:t>: la fecha del oficio, respuesta o acto material en que consta la negativa.</w:t>
      </w:r>
    </w:p>
    <w:p>
      <w:pPr>
        <w:spacing w:line="360" w:lineRule="auto"/>
        <w:jc w:val="both"/>
      </w:pPr>
      <w:r>
        <w:rPr>
          <w:rFonts w:ascii="Arial" w:hAnsi="Arial"/>
          <w:b/>
          <w:i w:val="0"/>
          <w:sz w:val="24"/>
        </w:rPr>
        <w:t>[NÚMERO DE EXPEDIENTE DEL RECURSO DE QUEJA]</w:t>
      </w:r>
      <w:r>
        <w:rPr>
          <w:rFonts w:ascii="Arial" w:hAnsi="Arial"/>
          <w:b w:val="0"/>
          <w:i w:val="0"/>
          <w:sz w:val="24"/>
        </w:rPr>
        <w:t>: el número que el órgano asignó al recurso, si ya lo tienes.</w:t>
      </w:r>
    </w:p>
    <w:p/>
    <w:p>
      <w:pPr>
        <w:spacing w:line="360" w:lineRule="auto"/>
        <w:jc w:val="both"/>
      </w:pPr>
      <w:r>
        <w:rPr>
          <w:rFonts w:ascii="Arial" w:hAnsi="Arial"/>
          <w:b/>
          <w:sz w:val="28"/>
        </w:rPr>
        <w:t>APARTADO DE COMPETENCIA POR RAZÓN DE MATERIA. Corresponde al Tribunal Colegiado de Circuito en Materia de Trabajo, y no al especializado en materia administrativa, conocer del recurso de queja interpuesto contra el auto que desechó la demanda de amparo indirecto en la que se reclama la negativa de otorgar la gratificación por jubilación, porque el acto reclamado incide en el ámbito laboral y la autoridad responsable actúa en representación del Estado en su carácter de patrón, conforme a la jurisprudencia P./J. 176/2026 (12a.) del Pleno de la Suprema Corte de Justicia de la Nación.</w:t>
      </w:r>
    </w:p>
    <w:p>
      <w:pPr>
        <w:spacing w:line="360" w:lineRule="auto"/>
        <w:jc w:val="both"/>
      </w:pPr>
      <w:r>
        <w:rPr>
          <w:rFonts w:ascii="Arial" w:hAnsi="Arial"/>
          <w:b/>
          <w:sz w:val="28"/>
        </w:rPr>
        <w:t>I. Síntesis del apartado.</w:t>
      </w:r>
    </w:p>
    <w:p>
      <w:pPr>
        <w:spacing w:line="360" w:lineRule="auto"/>
        <w:jc w:val="both"/>
      </w:pPr>
      <w:r>
        <w:rPr>
          <w:rFonts w:ascii="Arial" w:hAnsi="Arial"/>
          <w:b w:val="0"/>
          <w:i w:val="0"/>
          <w:sz w:val="28"/>
        </w:rPr>
        <w:t xml:space="preserve">En este apartado se demostrará que el conocimiento del recurso de queja interpuesto contra el auto de </w:t>
      </w:r>
      <w:r>
        <w:rPr>
          <w:rFonts w:ascii="Arial" w:hAnsi="Arial"/>
          <w:b/>
          <w:i w:val="0"/>
          <w:sz w:val="28"/>
        </w:rPr>
        <w:t>[FECHA DEL AUTO DE DESECHAMIENTO]</w:t>
      </w:r>
      <w:r>
        <w:rPr>
          <w:rFonts w:ascii="Arial" w:hAnsi="Arial"/>
          <w:b w:val="0"/>
          <w:i w:val="0"/>
          <w:sz w:val="28"/>
        </w:rPr>
        <w:t xml:space="preserve">, dictado por el </w:t>
      </w:r>
      <w:r>
        <w:rPr>
          <w:rFonts w:ascii="Arial" w:hAnsi="Arial"/>
          <w:b/>
          <w:i w:val="0"/>
          <w:sz w:val="28"/>
        </w:rPr>
        <w:t>[JUZGADO DE DISTRITO DE ORIGEN]</w:t>
      </w:r>
      <w:r>
        <w:rPr>
          <w:rFonts w:ascii="Arial" w:hAnsi="Arial"/>
          <w:b w:val="0"/>
          <w:i w:val="0"/>
          <w:sz w:val="28"/>
        </w:rPr>
        <w:t xml:space="preserve"> en el expediente </w:t>
      </w:r>
      <w:r>
        <w:rPr>
          <w:rFonts w:ascii="Arial" w:hAnsi="Arial"/>
          <w:b/>
          <w:i w:val="0"/>
          <w:sz w:val="28"/>
        </w:rPr>
        <w:t>[NÚMERO DE EXPEDIENTE DE AMPARO INDIRECTO]</w:t>
      </w:r>
      <w:r>
        <w:rPr>
          <w:rFonts w:ascii="Arial" w:hAnsi="Arial"/>
          <w:b w:val="0"/>
          <w:i w:val="0"/>
          <w:sz w:val="28"/>
        </w:rPr>
        <w:t>, corresponde a un Tribunal Colegiado de Circuito especializado en materia de trabajo, y no a uno especializado en materia administrativa, porque el acto reclamado en la demanda desechada, consistente en la negativa de otorgar a la parte quejosa la prestación denominada gratificación por jubilación, incide en el ámbito laboral.</w:t>
      </w:r>
    </w:p>
    <w:p>
      <w:pPr>
        <w:spacing w:line="360" w:lineRule="auto"/>
        <w:jc w:val="both"/>
      </w:pPr>
      <w:r>
        <w:rPr>
          <w:rFonts w:ascii="Arial" w:hAnsi="Arial"/>
          <w:b w:val="0"/>
          <w:i w:val="0"/>
          <w:sz w:val="28"/>
        </w:rPr>
        <w:t>La demostración descansa en dos premisas que la Suprema Corte de Justicia de la Nación fijó con carácter obligatorio. La primera es que la competencia por materia de los Tribunales Colegiados de Circuito especializados se determina por la materia en la que incide el acto reclamado y, en su caso, por la naturaleza de la autoridad señalada como responsable. La segunda es que la gratificación por jubilación constituye un beneficio extralegal que el Estado concede en su carácter de patrón, de modo que el acto que la niega pertenece a la materia de trabajo.</w:t>
      </w:r>
    </w:p>
    <w:p>
      <w:pPr>
        <w:spacing w:line="360" w:lineRule="auto"/>
        <w:jc w:val="both"/>
      </w:pPr>
      <w:r>
        <w:rPr>
          <w:rFonts w:ascii="Arial" w:hAnsi="Arial"/>
          <w:b w:val="0"/>
          <w:i w:val="0"/>
          <w:sz w:val="28"/>
        </w:rPr>
        <w:t xml:space="preserve">Si ambas premisas se respetan, la conclusión es forzosa y no admite matices: el recurso debe ser resuelto por un Tribunal Colegiado en Materia de Trabajo. Por ello se solicita que el </w:t>
      </w:r>
      <w:r>
        <w:rPr>
          <w:rFonts w:ascii="Arial" w:hAnsi="Arial"/>
          <w:b/>
          <w:i w:val="0"/>
          <w:sz w:val="28"/>
        </w:rPr>
        <w:t>[TRIBUNAL COLEGIADO ANTE EL QUE SE SOSTIENE LA COMPETENCIA]</w:t>
      </w:r>
      <w:r>
        <w:rPr>
          <w:rFonts w:ascii="Arial" w:hAnsi="Arial"/>
          <w:b w:val="0"/>
          <w:i w:val="0"/>
          <w:sz w:val="28"/>
        </w:rPr>
        <w:t xml:space="preserve"> se declare competente y se avoque al conocimiento del asunto o, en su caso, que se deje sin efecto la declinación y el expediente se remita al órgano especializado que legalmente corresponde, sin que la definición de este punto se traduzca en dilación imputable a la parte recurrente.</w:t>
      </w:r>
    </w:p>
    <w:p>
      <w:pPr>
        <w:spacing w:line="360" w:lineRule="auto"/>
        <w:jc w:val="both"/>
      </w:pPr>
      <w:r>
        <w:rPr>
          <w:rFonts w:ascii="Arial" w:hAnsi="Arial"/>
          <w:b/>
          <w:sz w:val="28"/>
        </w:rPr>
        <w:t>II. Planteamiento.</w:t>
      </w:r>
    </w:p>
    <w:p>
      <w:pPr>
        <w:spacing w:line="360" w:lineRule="auto"/>
        <w:jc w:val="both"/>
      </w:pPr>
      <w:r>
        <w:rPr>
          <w:rFonts w:ascii="Arial" w:hAnsi="Arial"/>
          <w:b w:val="0"/>
          <w:i w:val="0"/>
          <w:sz w:val="28"/>
        </w:rPr>
        <w:t xml:space="preserve">La resolución recurrida es el auto de </w:t>
      </w:r>
      <w:r>
        <w:rPr>
          <w:rFonts w:ascii="Arial" w:hAnsi="Arial"/>
          <w:b/>
          <w:i w:val="0"/>
          <w:sz w:val="28"/>
        </w:rPr>
        <w:t>[FECHA DEL AUTO DE DESECHAMIENTO]</w:t>
      </w:r>
      <w:r>
        <w:rPr>
          <w:rFonts w:ascii="Arial" w:hAnsi="Arial"/>
          <w:b w:val="0"/>
          <w:i w:val="0"/>
          <w:sz w:val="28"/>
        </w:rPr>
        <w:t xml:space="preserve">, por el que el </w:t>
      </w:r>
      <w:r>
        <w:rPr>
          <w:rFonts w:ascii="Arial" w:hAnsi="Arial"/>
          <w:b/>
          <w:i w:val="0"/>
          <w:sz w:val="28"/>
        </w:rPr>
        <w:t>[JUZGADO DE DISTRITO DE ORIGEN]</w:t>
      </w:r>
      <w:r>
        <w:rPr>
          <w:rFonts w:ascii="Arial" w:hAnsi="Arial"/>
          <w:b w:val="0"/>
          <w:i w:val="0"/>
          <w:sz w:val="28"/>
        </w:rPr>
        <w:t xml:space="preserve"> desechó la demanda de amparo indirecto promovida por </w:t>
      </w:r>
      <w:r>
        <w:rPr>
          <w:rFonts w:ascii="Arial" w:hAnsi="Arial"/>
          <w:b/>
          <w:i w:val="0"/>
          <w:sz w:val="28"/>
        </w:rPr>
        <w:t>[NOMBRE DE LA PARTE QUEJOSA Y RECURRENTE]</w:t>
      </w:r>
      <w:r>
        <w:rPr>
          <w:rFonts w:ascii="Arial" w:hAnsi="Arial"/>
          <w:b w:val="0"/>
          <w:i w:val="0"/>
          <w:sz w:val="28"/>
        </w:rPr>
        <w:t xml:space="preserve"> contra la negativa de </w:t>
      </w:r>
      <w:r>
        <w:rPr>
          <w:rFonts w:ascii="Arial" w:hAnsi="Arial"/>
          <w:b/>
          <w:i w:val="0"/>
          <w:sz w:val="28"/>
        </w:rPr>
        <w:t>[DEPENDENCIA EDUCATIVA SEÑALADA COMO AUTORIDAD RESPONSABLE]</w:t>
      </w:r>
      <w:r>
        <w:rPr>
          <w:rFonts w:ascii="Arial" w:hAnsi="Arial"/>
          <w:b w:val="0"/>
          <w:i w:val="0"/>
          <w:sz w:val="28"/>
        </w:rPr>
        <w:t xml:space="preserve"> de cubrir la gratificación por jubilación prevista en el </w:t>
      </w:r>
      <w:r>
        <w:rPr>
          <w:rFonts w:ascii="Arial" w:hAnsi="Arial"/>
          <w:b/>
          <w:i w:val="0"/>
          <w:sz w:val="28"/>
        </w:rPr>
        <w:t>[DENOMINACIÓN DE LA NORMATIVA INTERNA QUE PREVÉ LA GRATIFICACIÓN]</w:t>
      </w:r>
      <w:r>
        <w:rPr>
          <w:rFonts w:ascii="Arial" w:hAnsi="Arial"/>
          <w:b w:val="0"/>
          <w:i w:val="0"/>
          <w:sz w:val="28"/>
        </w:rPr>
        <w:t>. Ese auto es recurrible en queja conforme al artículo 97, fracción I, inciso a), de la Ley de Amparo, que abre el recurso contra las resoluciones que desechen una demanda de amparo.</w:t>
      </w:r>
    </w:p>
    <w:p>
      <w:pPr>
        <w:spacing w:line="360" w:lineRule="auto"/>
        <w:jc w:val="both"/>
      </w:pPr>
      <w:r>
        <w:rPr>
          <w:rFonts w:ascii="Arial" w:hAnsi="Arial"/>
          <w:b w:val="0"/>
          <w:i w:val="0"/>
          <w:sz w:val="28"/>
        </w:rPr>
        <w:t xml:space="preserve">El recurso se presentó por escrito ante el órgano jurisdiccional que conoce del juicio, como lo ordena el artículo 99 de la Ley de Amparo, y dentro del plazo que fija el artículo 98 del mismo ordenamiento, contado a partir de la notificación practicada el </w:t>
      </w:r>
      <w:r>
        <w:rPr>
          <w:rFonts w:ascii="Arial" w:hAnsi="Arial"/>
          <w:b/>
          <w:i w:val="0"/>
          <w:sz w:val="28"/>
        </w:rPr>
        <w:t>[FECHA DE NOTIFICACIÓN DEL AUTO DE DESECHAMIENTO]</w:t>
      </w:r>
      <w:r>
        <w:rPr>
          <w:rFonts w:ascii="Arial" w:hAnsi="Arial"/>
          <w:b w:val="0"/>
          <w:i w:val="0"/>
          <w:sz w:val="28"/>
        </w:rPr>
        <w:t>. Satisfechos esos presupuestos, la única cuestión que aquí se plantea, y que debe resolverse antes que cualquier otra, es cuál de los Tribunales Colegiados de Circuito especializados debe conocer del recurso.</w:t>
      </w:r>
    </w:p>
    <w:p>
      <w:pPr>
        <w:spacing w:line="360" w:lineRule="auto"/>
        <w:jc w:val="both"/>
      </w:pPr>
      <w:r>
        <w:rPr>
          <w:rFonts w:ascii="Arial" w:hAnsi="Arial"/>
          <w:b w:val="0"/>
          <w:i w:val="0"/>
          <w:sz w:val="28"/>
        </w:rPr>
        <w:t xml:space="preserve">La cuestión no es formal ni menor. El </w:t>
      </w:r>
      <w:r>
        <w:rPr>
          <w:rFonts w:ascii="Arial" w:hAnsi="Arial"/>
          <w:b/>
          <w:i w:val="0"/>
          <w:sz w:val="28"/>
        </w:rPr>
        <w:t>[ÓRGANO QUE DECLINÓ O CUESTIONÓ LA COMPETENCIA]</w:t>
      </w:r>
      <w:r>
        <w:rPr>
          <w:rFonts w:ascii="Arial" w:hAnsi="Arial"/>
          <w:b w:val="0"/>
          <w:i w:val="0"/>
          <w:sz w:val="28"/>
        </w:rPr>
        <w:t xml:space="preserve"> sostuvo que el asunto pertenece a la materia administrativa con el siguiente razonamiento: </w:t>
      </w:r>
      <w:r>
        <w:rPr>
          <w:rFonts w:ascii="Arial" w:hAnsi="Arial"/>
          <w:b/>
          <w:i w:val="0"/>
          <w:sz w:val="28"/>
        </w:rPr>
        <w:t>[RAZONAMIENTO DEL ACUERDO QUE DECLINÓ LA COMPETENCIA]</w:t>
      </w:r>
      <w:r>
        <w:rPr>
          <w:rFonts w:ascii="Arial" w:hAnsi="Arial"/>
          <w:b w:val="0"/>
          <w:i w:val="0"/>
          <w:sz w:val="28"/>
        </w:rPr>
        <w:t>. De prevalecer esa postura, la parte recurrente sería juzgada por un órgano distinto del que la jurisprudencia obligatoria señala, y el conflicto competencial retrasaría la resolución de un recurso cuya materia es, precisamente, el acceso mismo al juicio de amparo.</w:t>
      </w:r>
    </w:p>
    <w:p>
      <w:pPr>
        <w:spacing w:line="360" w:lineRule="auto"/>
        <w:jc w:val="both"/>
      </w:pPr>
      <w:r>
        <w:rPr>
          <w:rFonts w:ascii="Arial" w:hAnsi="Arial"/>
          <w:b w:val="0"/>
          <w:i w:val="0"/>
          <w:sz w:val="28"/>
        </w:rPr>
        <w:t>El perjuicio, por tanto, es doble: se afecta el derecho a que la controversia sea resuelta por el órgano especializado en la rama del derecho que la rige, y se posterga la revisión de un desechamiento que, mientras no se corrija, mantiene cerrada la puerta del juicio constitucional. De ahí que este apartado se formule con carácter previo y se pida su estudio preferente.</w:t>
      </w:r>
    </w:p>
    <w:p>
      <w:pPr>
        <w:spacing w:line="360" w:lineRule="auto"/>
        <w:jc w:val="both"/>
      </w:pPr>
      <w:r>
        <w:rPr>
          <w:rFonts w:ascii="Arial" w:hAnsi="Arial"/>
          <w:b/>
          <w:sz w:val="28"/>
        </w:rPr>
        <w:t>III. Desarrollo normativo y doctrinal. Premisa mayor.</w:t>
      </w:r>
    </w:p>
    <w:p>
      <w:pPr>
        <w:spacing w:line="360" w:lineRule="auto"/>
        <w:jc w:val="both"/>
      </w:pPr>
      <w:r>
        <w:rPr>
          <w:rFonts w:ascii="Arial" w:hAnsi="Arial"/>
          <w:b w:val="0"/>
          <w:i w:val="0"/>
          <w:sz w:val="28"/>
        </w:rPr>
        <w:t>Conviene partir de lo que significa la competencia por materia. La doctrina procesal la define como el criterio de distribución que se establece en razón de la naturaleza jurídica del conflicto que constituye el objeto del litigio, o bien según la rama del derecho sustantivo cuyas normas deben aplicarse para dirimirlo.</w:t>
      </w:r>
      <w:r>
        <w:rPr>
          <w:rFonts w:ascii="Arial" w:hAnsi="Arial"/>
          <w:vertAlign w:val="superscript"/>
        </w:rPr>
        <w:t>1</w:t>
      </w:r>
      <w:r>
        <w:rPr>
          <w:rFonts w:ascii="Arial" w:hAnsi="Arial"/>
          <w:b w:val="0"/>
          <w:i w:val="0"/>
          <w:sz w:val="28"/>
        </w:rPr>
        <w:t xml:space="preserve"> No se trata, pues, de un reparto administrativo de expedientes, sino de una consecuencia del derecho material que rige la relación de la que el conflicto nace.</w:t>
      </w:r>
    </w:p>
    <w:p>
      <w:pPr>
        <w:spacing w:line="360" w:lineRule="auto"/>
        <w:jc w:val="both"/>
      </w:pPr>
      <w:r>
        <w:rPr>
          <w:rFonts w:ascii="Arial" w:hAnsi="Arial"/>
          <w:b w:val="0"/>
          <w:i w:val="0"/>
          <w:sz w:val="28"/>
        </w:rPr>
        <w:t>Ese reparto tiene, además, rango de derecho fundamental. La doctrina que sistematiza el debido proceso reconoce el derecho a un juez natural, esto es, a un tribunal independiente, imparcial, establecido previamente por la ley y dotado de competencia para resolver los asuntos de su conocimiento, y lo describe como la garantía mínima que debe reportar un proceso para ser legal y justo.</w:t>
      </w:r>
      <w:r>
        <w:rPr>
          <w:rFonts w:ascii="Arial" w:hAnsi="Arial"/>
          <w:vertAlign w:val="superscript"/>
        </w:rPr>
        <w:t>2</w:t>
      </w:r>
      <w:r>
        <w:rPr>
          <w:rFonts w:ascii="Arial" w:hAnsi="Arial"/>
          <w:b w:val="0"/>
          <w:i w:val="0"/>
          <w:sz w:val="28"/>
        </w:rPr>
        <w:t xml:space="preserve"> Cuando un órgano especializado resuelve un asunto que no le corresponde por razón de materia, no incurre en una irregularidad de trámite: desconoce esa garantía.</w:t>
      </w:r>
    </w:p>
    <w:p>
      <w:pPr>
        <w:spacing w:line="360" w:lineRule="auto"/>
        <w:jc w:val="both"/>
      </w:pPr>
      <w:r>
        <w:rPr>
          <w:rFonts w:ascii="Arial" w:hAnsi="Arial"/>
          <w:b w:val="0"/>
          <w:i w:val="0"/>
          <w:sz w:val="28"/>
        </w:rPr>
        <w:t>Precisamente porque la competencia se define por la naturaleza sustantiva del conflicto, y no por el rótulo del ordenamiento en que la prestación aparece, las dudas se resuelven por la vía de la contradicción de criterios. Su finalidad es poner fin a la incertidumbre que genera la existencia de criterios opuestos frente a situaciones semejantes y unificar la interpretación para ofrecer seguridad jurídica.</w:t>
      </w:r>
      <w:r>
        <w:rPr>
          <w:rFonts w:ascii="Arial" w:hAnsi="Arial"/>
          <w:vertAlign w:val="superscript"/>
        </w:rPr>
        <w:t>3</w:t>
      </w:r>
      <w:r>
        <w:rPr>
          <w:rFonts w:ascii="Arial" w:hAnsi="Arial"/>
          <w:b w:val="0"/>
          <w:i w:val="0"/>
          <w:sz w:val="28"/>
        </w:rPr>
        <w:t xml:space="preserve"> Eso fue lo que ocurrió con el problema competencial que aquí se plantea.</w:t>
      </w:r>
    </w:p>
    <w:p>
      <w:pPr>
        <w:spacing w:line="360" w:lineRule="auto"/>
        <w:jc w:val="both"/>
      </w:pPr>
      <w:r>
        <w:rPr>
          <w:rFonts w:ascii="Arial" w:hAnsi="Arial"/>
          <w:b w:val="0"/>
          <w:i w:val="0"/>
          <w:sz w:val="28"/>
        </w:rPr>
        <w:t>En efecto, el Pleno de la Suprema Corte de Justicia de la Nación resolvió el doce de marzo de dos mil veintiséis la contradicción de criterios 226/2025, suscitada entre el Pleno Regional en Materias Administrativa y Civil y el Pleno Regional en Materias Penal y de Trabajo, ambos de la Región Centro-Sur, con residencia en la Ciudad de México. De esa ejecutoria derivó la jurisprudencia P./J. 176/2026 (12a.), Duodécima Época, con número de registro digital 2032580.</w:t>
      </w:r>
    </w:p>
    <w:p>
      <w:pPr>
        <w:spacing w:line="360" w:lineRule="auto"/>
        <w:jc w:val="both"/>
      </w:pPr>
      <w:r>
        <w:rPr>
          <w:rFonts w:ascii="Arial" w:hAnsi="Arial"/>
          <w:b w:val="0"/>
          <w:i w:val="0"/>
          <w:sz w:val="28"/>
        </w:rPr>
        <w:t xml:space="preserve">Esa tesis jurisprudencial se publicó en el Semanario Judicial de la Federación el viernes 4 de septiembre de 2026 y, por ende, se considera de aplicación obligatoria a partir del lunes 7 de septiembre de 2026. Su rubro es el siguiente: </w:t>
      </w:r>
      <w:r>
        <w:rPr>
          <w:rFonts w:ascii="Arial" w:hAnsi="Arial"/>
          <w:b w:val="0"/>
          <w:i/>
          <w:sz w:val="28"/>
        </w:rPr>
        <w:t>«COMPETENCIA PARA CONOCER DEL RECURSO DE QUEJA INTERPUESTO CONTRA EL DESECHAMIENTO DE LA DEMANDA DE AMPARO INDIRECTO QUE COMBATE LA NEGATIVA DE OTORGAR LA GRATIFICACIÓN POR JUBILACIÓN. CORRESPONDE AL TRIBUNAL COLEGIADO EN MATERIA DE TRABAJO.»</w:t>
      </w:r>
    </w:p>
    <w:p>
      <w:pPr>
        <w:spacing w:line="360" w:lineRule="auto"/>
        <w:jc w:val="both"/>
      </w:pPr>
      <w:r>
        <w:rPr>
          <w:rFonts w:ascii="Arial" w:hAnsi="Arial"/>
          <w:b w:val="0"/>
          <w:i w:val="0"/>
          <w:sz w:val="28"/>
        </w:rPr>
        <w:t xml:space="preserve">El criterio jurídico que fijó el Pleno es el siguiente: </w:t>
      </w:r>
      <w:r>
        <w:rPr>
          <w:rFonts w:ascii="Arial" w:hAnsi="Arial"/>
          <w:b w:val="0"/>
          <w:i/>
          <w:sz w:val="28"/>
        </w:rPr>
        <w:t>«Corresponde al Tribunal Colegiado de Circuito en Materia de Trabajo conocer del recurso de queja interpuesto para combatir el desechamiento de la demanda de amparo indirecto promovida contra la negativa de la Secretaría de Educación Pública estatal de otorgar la prestación denominada “gratificación por jubilación”, al tratarse de un beneficio extralegal otorgado por el Estado en su carácter de patrón.»</w:t>
      </w:r>
    </w:p>
    <w:p>
      <w:pPr>
        <w:spacing w:line="360" w:lineRule="auto"/>
        <w:jc w:val="both"/>
      </w:pPr>
      <w:r>
        <w:rPr>
          <w:rFonts w:ascii="Arial" w:hAnsi="Arial"/>
          <w:b w:val="0"/>
          <w:i w:val="0"/>
          <w:sz w:val="28"/>
        </w:rPr>
        <w:t xml:space="preserve">En la justificación, el Pleno recordó primero la regla general que gobierna la materia, en el sentido de que </w:t>
      </w:r>
      <w:r>
        <w:rPr>
          <w:rFonts w:ascii="Arial" w:hAnsi="Arial"/>
          <w:b w:val="0"/>
          <w:i/>
          <w:sz w:val="28"/>
        </w:rPr>
        <w:t>«para determinar la competencia por materia de los Tribunales Colegiados de Circuito especializados debe atenderse a la materia en la que incide el acto reclamado y, en su caso, a la naturaleza de la autoridad responsable»</w:t>
      </w:r>
      <w:r>
        <w:rPr>
          <w:rFonts w:ascii="Arial" w:hAnsi="Arial"/>
          <w:b w:val="0"/>
          <w:i w:val="0"/>
          <w:sz w:val="28"/>
        </w:rPr>
        <w:t>. La regla, como se advierte, es de doble entrada: el acto y la autoridad.</w:t>
      </w:r>
    </w:p>
    <w:p>
      <w:pPr>
        <w:spacing w:line="360" w:lineRule="auto"/>
        <w:jc w:val="both"/>
      </w:pPr>
      <w:r>
        <w:rPr>
          <w:rFonts w:ascii="Arial" w:hAnsi="Arial"/>
          <w:b w:val="0"/>
          <w:i w:val="0"/>
          <w:sz w:val="28"/>
        </w:rPr>
        <w:t xml:space="preserve">Aplicado el primer elemento al acto concreto, la Suprema Corte concluyó que la negativa de otorgar la gratificación por jubilación </w:t>
      </w:r>
      <w:r>
        <w:rPr>
          <w:rFonts w:ascii="Arial" w:hAnsi="Arial"/>
          <w:b w:val="0"/>
          <w:i/>
          <w:sz w:val="28"/>
        </w:rPr>
        <w:t>«incide en el ámbito laboral, pues se reclama una prerrogativa de carácter extralegal prevista en normativa interna de esa naturaleza y otorgada por la Secretaría de Educación Pública estatal al personal docente y de apoyo y asistencia a la educación»</w:t>
      </w:r>
      <w:r>
        <w:rPr>
          <w:rFonts w:ascii="Arial" w:hAnsi="Arial"/>
          <w:b w:val="0"/>
          <w:i w:val="0"/>
          <w:sz w:val="28"/>
        </w:rPr>
        <w:t>.</w:t>
      </w:r>
    </w:p>
    <w:p>
      <w:pPr>
        <w:spacing w:line="360" w:lineRule="auto"/>
        <w:jc w:val="both"/>
      </w:pPr>
      <w:r>
        <w:rPr>
          <w:rFonts w:ascii="Arial" w:hAnsi="Arial"/>
          <w:b w:val="0"/>
          <w:i w:val="0"/>
          <w:sz w:val="28"/>
        </w:rPr>
        <w:t>El propio criterio delimita el contorno del beneficio en el supuesto examinado: se concede al personal adscrito a los Subsistemas Centrales del Modelo de Educación Media Superior y Superior que, encontrándose en activo y con una antigüedad mínima de cinco años, presenta su renuncia con motivo de una pensión por jubilación, de retiro por edad y tiempo de servicios, o por cesantía en edad avanzada. El dato importa, porque describe el supuesto de hecho sobre el que la Suprema Corte se pronunció y con el que debe compararse el que aquí se somete a decisión.</w:t>
      </w:r>
    </w:p>
    <w:p>
      <w:pPr>
        <w:spacing w:line="360" w:lineRule="auto"/>
        <w:jc w:val="both"/>
      </w:pPr>
      <w:r>
        <w:rPr>
          <w:rFonts w:ascii="Arial" w:hAnsi="Arial"/>
          <w:b w:val="0"/>
          <w:i w:val="0"/>
          <w:sz w:val="28"/>
        </w:rPr>
        <w:t xml:space="preserve">Sobre el segundo elemento, el de la naturaleza de la autoridad señalada como responsable, el Pleno precisó que ésta </w:t>
      </w:r>
      <w:r>
        <w:rPr>
          <w:rFonts w:ascii="Arial" w:hAnsi="Arial"/>
          <w:b w:val="0"/>
          <w:i/>
          <w:sz w:val="28"/>
        </w:rPr>
        <w:t>«actúa en representación de la dependencia con la que las personas quejosas mantuvieron la relación de trabajo y, por tanto, del Estado en su carácter de patrón»</w:t>
      </w:r>
      <w:r>
        <w:rPr>
          <w:rFonts w:ascii="Arial" w:hAnsi="Arial"/>
          <w:b w:val="0"/>
          <w:i w:val="0"/>
          <w:sz w:val="28"/>
        </w:rPr>
        <w:t>. Ambos elementos apuntan, así, en la misma dirección: la del derecho del trabajo, no la del derecho administrativo.</w:t>
      </w:r>
    </w:p>
    <w:p>
      <w:pPr>
        <w:spacing w:line="360" w:lineRule="auto"/>
        <w:jc w:val="both"/>
      </w:pPr>
      <w:r>
        <w:rPr>
          <w:rFonts w:ascii="Arial" w:hAnsi="Arial"/>
          <w:b w:val="0"/>
          <w:i w:val="0"/>
          <w:sz w:val="28"/>
        </w:rPr>
        <w:t>Esa jurisprudencia obliga al Tribunal Colegiado que deba resolver este recurso. Conforme al artículo 217, párrafo primero, de la Ley de Amparo, la jurisprudencia que establezca la Suprema Corte de Justicia de la Nación será obligatoria para todas las autoridades jurisdiccionales de la Federación y de las entidades federativas, con excepción de la propia Suprema Corte. Al provenir del Pleno, su ámbito de obligatoriedad es nacional y alcanza también a los plenos regionales y a los Tribunales Colegiados de Circuito, que no están comprendidos en esa única excepción.</w:t>
      </w:r>
    </w:p>
    <w:p>
      <w:pPr>
        <w:spacing w:line="360" w:lineRule="auto"/>
        <w:jc w:val="both"/>
      </w:pPr>
      <w:r>
        <w:rPr>
          <w:rFonts w:ascii="Arial" w:hAnsi="Arial"/>
          <w:b w:val="0"/>
          <w:i w:val="0"/>
          <w:sz w:val="28"/>
        </w:rPr>
        <w:t>Conviene subrayar, por último, una consecuencia que se desprende del criterio y que suele pasarse por alto: el hecho de que la prestación esté prevista en un manual o en un ordenamiento interno de administración de recursos humanos no la convierte en materia administrativa. El continente normativo no determina la materia del acto; la determina la relación sustantiva de la que el derecho nace, que en este caso es la relación de trabajo entre la dependencia educativa y su personal.</w:t>
      </w:r>
    </w:p>
    <w:p>
      <w:pPr>
        <w:spacing w:line="360" w:lineRule="auto"/>
        <w:jc w:val="both"/>
      </w:pPr>
      <w:r>
        <w:rPr>
          <w:rFonts w:ascii="Arial" w:hAnsi="Arial"/>
          <w:b/>
          <w:sz w:val="28"/>
        </w:rPr>
        <w:t>IV. Aplicación al caso concreto y refutación de la postura que atribuye el asunto a la materia administrativa.</w:t>
      </w:r>
    </w:p>
    <w:p>
      <w:pPr>
        <w:spacing w:line="360" w:lineRule="auto"/>
        <w:jc w:val="both"/>
      </w:pPr>
      <w:r>
        <w:rPr>
          <w:rFonts w:ascii="Arial" w:hAnsi="Arial"/>
          <w:b w:val="0"/>
          <w:i w:val="0"/>
          <w:sz w:val="28"/>
        </w:rPr>
        <w:t xml:space="preserve">Los hechos del expediente encuadran sin esfuerzo en la premisa expuesta. </w:t>
      </w:r>
      <w:r>
        <w:rPr>
          <w:rFonts w:ascii="Arial" w:hAnsi="Arial"/>
          <w:b/>
          <w:i w:val="0"/>
          <w:sz w:val="28"/>
        </w:rPr>
        <w:t>[NOMBRE DE LA PARTE QUEJOSA Y RECURRENTE]</w:t>
      </w:r>
      <w:r>
        <w:rPr>
          <w:rFonts w:ascii="Arial" w:hAnsi="Arial"/>
          <w:b w:val="0"/>
          <w:i w:val="0"/>
          <w:sz w:val="28"/>
        </w:rPr>
        <w:t xml:space="preserve"> prestó servicios para </w:t>
      </w:r>
      <w:r>
        <w:rPr>
          <w:rFonts w:ascii="Arial" w:hAnsi="Arial"/>
          <w:b/>
          <w:i w:val="0"/>
          <w:sz w:val="28"/>
        </w:rPr>
        <w:t>[DEPENDENCIA EDUCATIVA SEÑALADA COMO AUTORIDAD RESPONSABLE]</w:t>
      </w:r>
      <w:r>
        <w:rPr>
          <w:rFonts w:ascii="Arial" w:hAnsi="Arial"/>
          <w:b w:val="0"/>
          <w:i w:val="0"/>
          <w:sz w:val="28"/>
        </w:rPr>
        <w:t xml:space="preserve"> con la categoría y la antigüedad que se precisan en </w:t>
      </w:r>
      <w:r>
        <w:rPr>
          <w:rFonts w:ascii="Arial" w:hAnsi="Arial"/>
          <w:b/>
          <w:i w:val="0"/>
          <w:sz w:val="28"/>
        </w:rPr>
        <w:t>[ANTIGÜEDAD Y CATEGORÍA DE LA PARTE QUEJOSA]</w:t>
      </w:r>
      <w:r>
        <w:rPr>
          <w:rFonts w:ascii="Arial" w:hAnsi="Arial"/>
          <w:b w:val="0"/>
          <w:i w:val="0"/>
          <w:sz w:val="28"/>
        </w:rPr>
        <w:t xml:space="preserve">, y presentó su renuncia con motivo de la jubilación el </w:t>
      </w:r>
      <w:r>
        <w:rPr>
          <w:rFonts w:ascii="Arial" w:hAnsi="Arial"/>
          <w:b/>
          <w:i w:val="0"/>
          <w:sz w:val="28"/>
        </w:rPr>
        <w:t>[FECHA DE LA RENUNCIA O DE LA BAJA POR JUBILACIÓN]</w:t>
      </w:r>
      <w:r>
        <w:rPr>
          <w:rFonts w:ascii="Arial" w:hAnsi="Arial"/>
          <w:b w:val="0"/>
          <w:i w:val="0"/>
          <w:sz w:val="28"/>
        </w:rPr>
        <w:t xml:space="preserve">; con ese motivo solicitó el pago de la gratificación prevista en el </w:t>
      </w:r>
      <w:r>
        <w:rPr>
          <w:rFonts w:ascii="Arial" w:hAnsi="Arial"/>
          <w:b/>
          <w:i w:val="0"/>
          <w:sz w:val="28"/>
        </w:rPr>
        <w:t>[DENOMINACIÓN DE LA NORMATIVA INTERNA QUE PREVÉ LA GRATIFICACIÓN]</w:t>
      </w:r>
      <w:r>
        <w:rPr>
          <w:rFonts w:ascii="Arial" w:hAnsi="Arial"/>
          <w:b w:val="0"/>
          <w:i w:val="0"/>
          <w:sz w:val="28"/>
        </w:rPr>
        <w:t>.</w:t>
      </w:r>
    </w:p>
    <w:p>
      <w:pPr>
        <w:spacing w:line="360" w:lineRule="auto"/>
        <w:jc w:val="both"/>
      </w:pPr>
      <w:r>
        <w:rPr>
          <w:rFonts w:ascii="Arial" w:hAnsi="Arial"/>
          <w:b w:val="0"/>
          <w:i w:val="0"/>
          <w:sz w:val="28"/>
        </w:rPr>
        <w:t xml:space="preserve">La solicitud fue negada mediante el acto de </w:t>
      </w:r>
      <w:r>
        <w:rPr>
          <w:rFonts w:ascii="Arial" w:hAnsi="Arial"/>
          <w:b/>
          <w:i w:val="0"/>
          <w:sz w:val="28"/>
        </w:rPr>
        <w:t>[FECHA DEL ACTO QUE NEGÓ LA GRATIFICACIÓN]</w:t>
      </w:r>
      <w:r>
        <w:rPr>
          <w:rFonts w:ascii="Arial" w:hAnsi="Arial"/>
          <w:b w:val="0"/>
          <w:i w:val="0"/>
          <w:sz w:val="28"/>
        </w:rPr>
        <w:t xml:space="preserve">, que constituyó el acto reclamado en la demanda de amparo indirecto; esa demanda fue desechada por el </w:t>
      </w:r>
      <w:r>
        <w:rPr>
          <w:rFonts w:ascii="Arial" w:hAnsi="Arial"/>
          <w:b/>
          <w:i w:val="0"/>
          <w:sz w:val="28"/>
        </w:rPr>
        <w:t>[JUZGADO DE DISTRITO DE ORIGEN]</w:t>
      </w:r>
      <w:r>
        <w:rPr>
          <w:rFonts w:ascii="Arial" w:hAnsi="Arial"/>
          <w:b w:val="0"/>
          <w:i w:val="0"/>
          <w:sz w:val="28"/>
        </w:rPr>
        <w:t xml:space="preserve"> mediante el auto de </w:t>
      </w:r>
      <w:r>
        <w:rPr>
          <w:rFonts w:ascii="Arial" w:hAnsi="Arial"/>
          <w:b/>
          <w:i w:val="0"/>
          <w:sz w:val="28"/>
        </w:rPr>
        <w:t>[FECHA DEL AUTO DE DESECHAMIENTO]</w:t>
      </w:r>
      <w:r>
        <w:rPr>
          <w:rFonts w:ascii="Arial" w:hAnsi="Arial"/>
          <w:b w:val="0"/>
          <w:i w:val="0"/>
          <w:sz w:val="28"/>
        </w:rPr>
        <w:t xml:space="preserve">, contra el que se endereza el recurso de queja registrado con el número </w:t>
      </w:r>
      <w:r>
        <w:rPr>
          <w:rFonts w:ascii="Arial" w:hAnsi="Arial"/>
          <w:b/>
          <w:i w:val="0"/>
          <w:sz w:val="28"/>
        </w:rPr>
        <w:t>[NÚMERO DE EXPEDIENTE DEL RECURSO DE QUEJA]</w:t>
      </w:r>
      <w:r>
        <w:rPr>
          <w:rFonts w:ascii="Arial" w:hAnsi="Arial"/>
          <w:b w:val="0"/>
          <w:i w:val="0"/>
          <w:sz w:val="28"/>
        </w:rPr>
        <w:t>. Es ese recurso, y no otro, el que debe resolver un órgano especializado en materia de trabajo.</w:t>
      </w:r>
    </w:p>
    <w:p>
      <w:pPr>
        <w:spacing w:line="360" w:lineRule="auto"/>
        <w:jc w:val="both"/>
      </w:pPr>
      <w:r>
        <w:rPr>
          <w:rFonts w:ascii="Arial" w:hAnsi="Arial"/>
          <w:b w:val="0"/>
          <w:i w:val="0"/>
          <w:sz w:val="28"/>
        </w:rPr>
        <w:t>La subsunción es directa. El acto reclamado es la negativa de una prestación extralegal prevista en la normativa interna que rige al personal docente y de apoyo y asistencia a la educación; la autoridad que la negó es la dependencia con la que la parte quejosa mantuvo la relación de trabajo, y al negarla actuó en representación del Estado en su carácter de patrón. Luego, conforme a la regla obligatoria de doble entrada, el acto incide en la materia laboral y la competencia corresponde al Tribunal Colegiado en Materia de Trabajo.</w:t>
      </w:r>
    </w:p>
    <w:p>
      <w:pPr>
        <w:spacing w:line="360" w:lineRule="auto"/>
        <w:jc w:val="both"/>
      </w:pPr>
      <w:r>
        <w:rPr>
          <w:rFonts w:ascii="Arial" w:hAnsi="Arial"/>
          <w:b w:val="0"/>
          <w:i w:val="0"/>
          <w:sz w:val="28"/>
        </w:rPr>
        <w:t>La postura contraria, que atribuye el asunto a la materia administrativa porque la parte quejosa ostenta la calidad de persona jubilada, incurre en una falsa analogía. Ese vicio se comete en todo argumento analógico que no se apoya en una semejanza relevante u olvida diferencias que impiden la conclusión.</w:t>
      </w:r>
      <w:r>
        <w:rPr>
          <w:rFonts w:ascii="Arial" w:hAnsi="Arial"/>
          <w:vertAlign w:val="superscript"/>
        </w:rPr>
        <w:t>4</w:t>
      </w:r>
      <w:r>
        <w:rPr>
          <w:rFonts w:ascii="Arial" w:hAnsi="Arial"/>
          <w:b w:val="0"/>
          <w:i w:val="0"/>
          <w:sz w:val="28"/>
        </w:rPr>
        <w:t xml:space="preserve"> La semejanza que se invoca, a saber, que en uno y otro supuesto hay de por medio una persona jubilada, es irrelevante para resolver el problema competencial.</w:t>
      </w:r>
    </w:p>
    <w:p>
      <w:pPr>
        <w:spacing w:line="360" w:lineRule="auto"/>
        <w:jc w:val="both"/>
      </w:pPr>
      <w:r>
        <w:rPr>
          <w:rFonts w:ascii="Arial" w:hAnsi="Arial"/>
          <w:b w:val="0"/>
          <w:i w:val="0"/>
          <w:sz w:val="28"/>
        </w:rPr>
        <w:t>La diferencia que se olvida, en cambio, es decisiva. Una controversia sobre el otorgamiento o la cuantificación de la pensión enfrenta a la persona con el régimen de seguridad social y se resuelve con las normas que lo regulan; la gratificación por jubilación, en cambio, no se calcula ni se cubre con arreglo a la mecánica pensionaria, sino que nace de la normativa interna que rige la relación de trabajo y la paga la dependencia empleadora. Ésa fue justamente la distinción que la Suprema Corte hizo suya al fijar el criterio.</w:t>
      </w:r>
    </w:p>
    <w:p>
      <w:pPr>
        <w:spacing w:line="360" w:lineRule="auto"/>
        <w:jc w:val="both"/>
      </w:pPr>
      <w:r>
        <w:rPr>
          <w:rFonts w:ascii="Arial" w:hAnsi="Arial"/>
          <w:b w:val="0"/>
          <w:i w:val="0"/>
          <w:sz w:val="28"/>
        </w:rPr>
        <w:t xml:space="preserve">El segundo error de esa postura consiste en derivar la materia administrativa del carácter formal del ordenamiento que prevé la prestación. Del enunciado </w:t>
      </w:r>
      <w:r>
        <w:rPr>
          <w:rFonts w:ascii="Arial" w:hAnsi="Arial"/>
          <w:b w:val="0"/>
          <w:i/>
          <w:sz w:val="28"/>
        </w:rPr>
        <w:t>«la gratificación está regulada en un manual interno de administración de recursos humanos»</w:t>
      </w:r>
      <w:r>
        <w:rPr>
          <w:rFonts w:ascii="Arial" w:hAnsi="Arial"/>
          <w:b w:val="0"/>
          <w:i w:val="0"/>
          <w:sz w:val="28"/>
        </w:rPr>
        <w:t xml:space="preserve"> no se sigue que el acto que la niega sea de materia administrativa: se trata de un non sequitur, denominación genérica de todos los argumentos en que la conclusión no se sigue de las premisas.</w:t>
      </w:r>
      <w:r>
        <w:rPr>
          <w:rFonts w:ascii="Arial" w:hAnsi="Arial"/>
          <w:vertAlign w:val="superscript"/>
        </w:rPr>
        <w:t>5</w:t>
      </w:r>
    </w:p>
    <w:p>
      <w:pPr>
        <w:spacing w:line="360" w:lineRule="auto"/>
        <w:jc w:val="both"/>
      </w:pPr>
      <w:r>
        <w:rPr>
          <w:rFonts w:ascii="Arial" w:hAnsi="Arial"/>
          <w:b w:val="0"/>
          <w:i w:val="0"/>
          <w:sz w:val="28"/>
        </w:rPr>
        <w:t>La invalidez es estructural y no de matiz. Una falacia es un argumento racionalmente no convincente que, aun pudiendo ser formalmente válido, contiene un error inferencial por violar uno o más criterios de la buena argumentación.</w:t>
      </w:r>
      <w:r>
        <w:rPr>
          <w:rFonts w:ascii="Arial" w:hAnsi="Arial"/>
          <w:vertAlign w:val="superscript"/>
        </w:rPr>
        <w:t>6</w:t>
      </w:r>
      <w:r>
        <w:rPr>
          <w:rFonts w:ascii="Arial" w:hAnsi="Arial"/>
          <w:b w:val="0"/>
          <w:i w:val="0"/>
          <w:sz w:val="28"/>
        </w:rPr>
        <w:t xml:space="preserve"> Aquí el error consiste en confundir el instrumento normativo con la naturaleza de la relación regulada; por esa vía, cualquier derecho del personal al servicio del Estado se volvería administrativo por el solo hecho de estar recogido en manuales, reglamentos o condiciones generales de trabajo.</w:t>
      </w:r>
    </w:p>
    <w:p>
      <w:pPr>
        <w:spacing w:line="360" w:lineRule="auto"/>
        <w:jc w:val="both"/>
      </w:pPr>
      <w:r>
        <w:rPr>
          <w:rFonts w:ascii="Arial" w:hAnsi="Arial"/>
          <w:b w:val="0"/>
          <w:i w:val="0"/>
          <w:sz w:val="28"/>
        </w:rPr>
        <w:t>La consecuencia de aceptar ese razonamiento revela su error con claridad. Si la sola forma del ordenamiento decidiera la competencia, las prestaciones extralegales que el Estado concede a quienes trabajan para él quedarían sistemáticamente fuera del conocimiento de los órganos especializados en la rama que las rige, y quien reclamara una gratificación nacida de su relación de trabajo litigaría ante juzgadores formados para revisar la actuación de la administración frente a los particulares, no la del Estado frente a su propio personal.</w:t>
      </w:r>
    </w:p>
    <w:p>
      <w:pPr>
        <w:spacing w:line="360" w:lineRule="auto"/>
        <w:jc w:val="both"/>
      </w:pPr>
      <w:r>
        <w:rPr>
          <w:rFonts w:ascii="Arial" w:hAnsi="Arial"/>
          <w:b w:val="0"/>
          <w:i w:val="0"/>
          <w:sz w:val="28"/>
        </w:rPr>
        <w:t>Tampoco es obstáculo que la resolución recurrida sea un auto de desechamiento y no una sentencia de fondo. La competencia para conocer del recurso se fija por la materia en que incide el acto reclamado en la demanda desechada, que es el parámetro que la Suprema Corte adoptó; sostener lo contrario supondría que un mismo asunto cambia de materia según la etapa procesal en que se encuentre, resultado incompatible con la definición misma de la competencia por razón de materia.</w:t>
      </w:r>
    </w:p>
    <w:p>
      <w:pPr>
        <w:spacing w:line="360" w:lineRule="auto"/>
        <w:jc w:val="both"/>
      </w:pPr>
      <w:r>
        <w:rPr>
          <w:rFonts w:ascii="Arial" w:hAnsi="Arial"/>
          <w:b/>
          <w:sz w:val="28"/>
        </w:rPr>
        <w:t>V. Conclusión y petición parcial.</w:t>
      </w:r>
    </w:p>
    <w:p>
      <w:pPr>
        <w:spacing w:line="360" w:lineRule="auto"/>
        <w:jc w:val="both"/>
      </w:pPr>
      <w:r>
        <w:rPr>
          <w:rFonts w:ascii="Arial" w:hAnsi="Arial"/>
          <w:b w:val="0"/>
          <w:i w:val="0"/>
          <w:sz w:val="28"/>
        </w:rPr>
        <w:t>En suma: la competencia por materia se determina por la naturaleza sustantiva del conflicto y por la rama del derecho llamada a resolverlo; el Pleno de la Suprema Corte de Justicia de la Nación fijó, en la jurisprudencia P./J. 176/2026 (12a.), que la negativa de otorgar la gratificación por jubilación incide en el ámbito laboral y que la autoridad que la niega actúa como representante del Estado en su carácter de patrón; el caso reúne ambos elementos; y la postura que atribuye el asunto a la materia administrativa se apoya en una falsa analogía y en un non sequitur.</w:t>
      </w:r>
    </w:p>
    <w:p>
      <w:pPr>
        <w:spacing w:line="360" w:lineRule="auto"/>
        <w:jc w:val="both"/>
      </w:pPr>
      <w:r>
        <w:rPr>
          <w:rFonts w:ascii="Arial" w:hAnsi="Arial"/>
          <w:b w:val="0"/>
          <w:i w:val="0"/>
          <w:sz w:val="28"/>
        </w:rPr>
        <w:t xml:space="preserve">Por lo expuesto, se solicita respetuosamente que el </w:t>
      </w:r>
      <w:r>
        <w:rPr>
          <w:rFonts w:ascii="Arial" w:hAnsi="Arial"/>
          <w:b/>
          <w:i w:val="0"/>
          <w:sz w:val="28"/>
        </w:rPr>
        <w:t>[TRIBUNAL COLEGIADO ANTE EL QUE SE SOSTIENE LA COMPETENCIA]</w:t>
      </w:r>
      <w:r>
        <w:rPr>
          <w:rFonts w:ascii="Arial" w:hAnsi="Arial"/>
          <w:b w:val="0"/>
          <w:i w:val="0"/>
          <w:sz w:val="28"/>
        </w:rPr>
        <w:t xml:space="preserve"> se declare legalmente competente para conocer y resolver el recurso de queja </w:t>
      </w:r>
      <w:r>
        <w:rPr>
          <w:rFonts w:ascii="Arial" w:hAnsi="Arial"/>
          <w:b/>
          <w:i w:val="0"/>
          <w:sz w:val="28"/>
        </w:rPr>
        <w:t>[NÚMERO DE EXPEDIENTE DEL RECURSO DE QUEJA]</w:t>
      </w:r>
      <w:r>
        <w:rPr>
          <w:rFonts w:ascii="Arial" w:hAnsi="Arial"/>
          <w:b w:val="0"/>
          <w:i w:val="0"/>
          <w:sz w:val="28"/>
        </w:rPr>
        <w:t>, con apoyo en el artículo 217, párrafo primero, de la Ley de Amparo y en la jurisprudencia obligatoria invocada; o bien, de haberse declinado ya su conocimiento, que se deje sin efecto esa determinación y el expediente se remita sin demora al Tribunal Colegiado de Circuito en Materia de Trabajo que corresponda.</w:t>
      </w:r>
    </w:p>
    <w:p>
      <w:pPr>
        <w:spacing w:line="360" w:lineRule="auto"/>
        <w:jc w:val="both"/>
      </w:pPr>
      <w:r>
        <w:rPr>
          <w:rFonts w:ascii="Arial" w:hAnsi="Arial"/>
          <w:b w:val="0"/>
          <w:i w:val="0"/>
          <w:sz w:val="28"/>
        </w:rPr>
        <w:t>Se hace notar, por último, que la definición de la competencia es previa y de orden público, de manera que su examen no prejuzga sobre los agravios enderezados contra el desechamiento de la demanda, los cuales se hacen valer en el apartado respectivo y quedan a salvo para que los estudie el órgano que resulte competente.</w:t>
      </w:r>
    </w:p>
    <w:p/>
    <w:p>
      <w:r>
        <w:rPr>
          <w:rFonts w:ascii="Arial" w:hAnsi="Arial"/>
          <w:b/>
          <w:sz w:val="22"/>
        </w:rPr>
        <w:t>NOTAS</w:t>
      </w:r>
    </w:p>
    <w:p>
      <w:pPr>
        <w:spacing w:after="60"/>
        <w:ind w:left="360" w:hanging="360"/>
        <w:jc w:val="both"/>
      </w:pPr>
      <w:r>
        <w:rPr>
          <w:rFonts w:ascii="Arial" w:hAnsi="Arial"/>
          <w:sz w:val="20"/>
          <w:vertAlign w:val="superscript"/>
        </w:rPr>
        <w:t>1</w:t>
      </w:r>
      <w:r>
        <w:rPr>
          <w:sz w:val="20"/>
        </w:rPr>
        <w:t xml:space="preserve"> </w:t>
      </w: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 p. 281.</w:t>
      </w:r>
    </w:p>
    <w:p>
      <w:pPr>
        <w:spacing w:after="60"/>
        <w:ind w:left="360" w:hanging="360"/>
        <w:jc w:val="both"/>
      </w:pPr>
      <w:r>
        <w:rPr>
          <w:rFonts w:ascii="Arial" w:hAnsi="Arial"/>
          <w:sz w:val="20"/>
          <w:vertAlign w:val="superscript"/>
        </w:rPr>
        <w:t>2</w:t>
      </w:r>
      <w:r>
        <w:rPr>
          <w:sz w:val="20"/>
        </w:rPr>
        <w:t xml:space="preserve"> </w:t>
      </w:r>
      <w:r>
        <w:rPr>
          <w:rFonts w:ascii="Arial" w:hAnsi="Arial"/>
          <w:i w:val="0"/>
          <w:sz w:val="20"/>
        </w:rPr>
        <w:t xml:space="preserve">IBARRA OLGUÍN, Ana María (ed.), </w:t>
      </w:r>
      <w:r>
        <w:rPr>
          <w:rFonts w:ascii="Arial" w:hAnsi="Arial"/>
          <w:i/>
          <w:sz w:val="20"/>
        </w:rPr>
        <w:t>Curso de derechos humanos</w:t>
      </w:r>
      <w:r>
        <w:rPr>
          <w:rFonts w:ascii="Arial" w:hAnsi="Arial"/>
          <w:i w:val="0"/>
          <w:sz w:val="20"/>
        </w:rPr>
        <w:t>, Tirant lo Blanch, México, 2022, p. 349.</w:t>
      </w:r>
    </w:p>
    <w:p>
      <w:pPr>
        <w:spacing w:after="60"/>
        <w:ind w:left="360" w:hanging="360"/>
        <w:jc w:val="both"/>
      </w:pPr>
      <w:r>
        <w:rPr>
          <w:rFonts w:ascii="Arial" w:hAnsi="Arial"/>
          <w:sz w:val="20"/>
          <w:vertAlign w:val="superscript"/>
        </w:rPr>
        <w:t>3</w:t>
      </w:r>
      <w:r>
        <w:rPr>
          <w:sz w:val="20"/>
        </w:rPr>
        <w:t xml:space="preserve"> </w:t>
      </w:r>
      <w:r>
        <w:rPr>
          <w:rFonts w:ascii="Arial" w:hAnsi="Arial"/>
          <w:i w:val="0"/>
          <w:sz w:val="20"/>
        </w:rPr>
        <w:t xml:space="preserve">HERNÁNDEZ MANRÍQUEZ, Javier, </w:t>
      </w:r>
      <w:r>
        <w:rPr>
          <w:rFonts w:ascii="Arial" w:hAnsi="Arial"/>
          <w:i/>
          <w:sz w:val="20"/>
        </w:rPr>
        <w:t>Nociones de hermenéutica e interpretación jurídica en el contexto mexicano</w:t>
      </w:r>
      <w:r>
        <w:rPr>
          <w:rFonts w:ascii="Arial" w:hAnsi="Arial"/>
          <w:i w:val="0"/>
          <w:sz w:val="20"/>
        </w:rPr>
        <w:t>, Universidad Nacional Autónoma de México, Instituto de Investigaciones Jurídicas, México, 2019, p. 107.</w:t>
      </w:r>
    </w:p>
    <w:p>
      <w:pPr>
        <w:spacing w:after="60"/>
        <w:ind w:left="360" w:hanging="360"/>
        <w:jc w:val="both"/>
      </w:pPr>
      <w:r>
        <w:rPr>
          <w:rFonts w:ascii="Arial" w:hAnsi="Arial"/>
          <w:sz w:val="20"/>
          <w:vertAlign w:val="superscript"/>
        </w:rPr>
        <w:t>4</w:t>
      </w:r>
      <w:r>
        <w:rPr>
          <w:sz w:val="20"/>
        </w:rPr>
        <w:t xml:space="preserve"> </w:t>
      </w: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 p. 9.</w:t>
      </w:r>
    </w:p>
    <w:p>
      <w:pPr>
        <w:spacing w:after="60"/>
        <w:ind w:left="360" w:hanging="360"/>
        <w:jc w:val="both"/>
      </w:pPr>
      <w:r>
        <w:rPr>
          <w:rFonts w:ascii="Arial" w:hAnsi="Arial"/>
          <w:sz w:val="20"/>
          <w:vertAlign w:val="superscript"/>
        </w:rPr>
        <w:t>5</w:t>
      </w:r>
      <w:r>
        <w:rPr>
          <w:sz w:val="20"/>
        </w:rPr>
        <w:t xml:space="preserve"> </w:t>
      </w:r>
      <w:r>
        <w:rPr>
          <w:rFonts w:ascii="Arial" w:hAnsi="Arial"/>
          <w:i w:val="0"/>
          <w:sz w:val="20"/>
        </w:rPr>
        <w:t>GARCÍA DAMBORENEA, op. cit.</w:t>
      </w:r>
      <w:r>
        <w:rPr>
          <w:rFonts w:ascii="Arial" w:hAnsi="Arial"/>
          <w:i w:val="0"/>
          <w:sz w:val="20"/>
        </w:rPr>
        <w:t>, p. 64.</w:t>
      </w:r>
    </w:p>
    <w:p>
      <w:pPr>
        <w:spacing w:after="60"/>
        <w:ind w:left="360" w:hanging="360"/>
        <w:jc w:val="both"/>
      </w:pPr>
      <w:r>
        <w:rPr>
          <w:rFonts w:ascii="Arial" w:hAnsi="Arial"/>
          <w:sz w:val="20"/>
          <w:vertAlign w:val="superscript"/>
        </w:rPr>
        <w:t>6</w:t>
      </w:r>
      <w:r>
        <w:rPr>
          <w:sz w:val="20"/>
        </w:rPr>
        <w:t xml:space="preserve"> </w:t>
      </w:r>
      <w:r>
        <w:rPr>
          <w:rFonts w:ascii="Arial" w:hAnsi="Arial"/>
          <w:i w:val="0"/>
          <w:sz w:val="20"/>
        </w:rPr>
        <w:t xml:space="preserve">MORA RAMIREZ, Rafael, </w:t>
      </w:r>
      <w:r>
        <w:rPr>
          <w:rFonts w:ascii="Arial" w:hAnsi="Arial"/>
          <w:i/>
          <w:sz w:val="20"/>
        </w:rPr>
        <w:t>Para comprender a las falacias</w:t>
      </w:r>
      <w:r>
        <w:rPr>
          <w:rFonts w:ascii="Arial" w:hAnsi="Arial"/>
          <w:i w:val="0"/>
          <w:sz w:val="20"/>
        </w:rPr>
        <w:t>, Acuedu Ediciones, s. f., p. 81.</w:t>
      </w:r>
    </w:p>
    <w:p/>
    <w:p>
      <w:r>
        <w:rPr>
          <w:rFonts w:ascii="Arial" w:hAnsi="Arial"/>
          <w:b/>
          <w:sz w:val="22"/>
        </w:rPr>
        <w:t>BIBLIOGRAFÍA</w:t>
      </w:r>
    </w:p>
    <w:p>
      <w:pPr>
        <w:spacing w:after="60"/>
        <w:ind w:left="360" w:hanging="360"/>
        <w:jc w:val="both"/>
      </w:pP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w:t>
      </w:r>
    </w:p>
    <w:p>
      <w:pPr>
        <w:spacing w:after="60"/>
        <w:ind w:left="360" w:hanging="360"/>
        <w:jc w:val="both"/>
      </w:pP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w:t>
      </w:r>
    </w:p>
    <w:p>
      <w:pPr>
        <w:spacing w:after="60"/>
        <w:ind w:left="360" w:hanging="360"/>
        <w:jc w:val="both"/>
      </w:pPr>
      <w:r>
        <w:rPr>
          <w:rFonts w:ascii="Arial" w:hAnsi="Arial"/>
          <w:i w:val="0"/>
          <w:sz w:val="20"/>
        </w:rPr>
        <w:t xml:space="preserve">HERNÁNDEZ MANRÍQUEZ, Javier, </w:t>
      </w:r>
      <w:r>
        <w:rPr>
          <w:rFonts w:ascii="Arial" w:hAnsi="Arial"/>
          <w:i/>
          <w:sz w:val="20"/>
        </w:rPr>
        <w:t>Nociones de hermenéutica e interpretación jurídica en el contexto mexicano</w:t>
      </w:r>
      <w:r>
        <w:rPr>
          <w:rFonts w:ascii="Arial" w:hAnsi="Arial"/>
          <w:i w:val="0"/>
          <w:sz w:val="20"/>
        </w:rPr>
        <w:t>, Universidad Nacional Autónoma de México, Instituto de Investigaciones Jurídicas, México, 2019.</w:t>
      </w:r>
    </w:p>
    <w:p>
      <w:pPr>
        <w:spacing w:after="60"/>
        <w:ind w:left="360" w:hanging="360"/>
        <w:jc w:val="both"/>
      </w:pPr>
      <w:r>
        <w:rPr>
          <w:rFonts w:ascii="Arial" w:hAnsi="Arial"/>
          <w:i w:val="0"/>
          <w:sz w:val="20"/>
        </w:rPr>
        <w:t xml:space="preserve">IBARRA OLGUÍN, Ana María (ed.), </w:t>
      </w:r>
      <w:r>
        <w:rPr>
          <w:rFonts w:ascii="Arial" w:hAnsi="Arial"/>
          <w:i/>
          <w:sz w:val="20"/>
        </w:rPr>
        <w:t>Curso de derechos humanos</w:t>
      </w:r>
      <w:r>
        <w:rPr>
          <w:rFonts w:ascii="Arial" w:hAnsi="Arial"/>
          <w:i w:val="0"/>
          <w:sz w:val="20"/>
        </w:rPr>
        <w:t>, Tirant lo Blanch, México, 2022.</w:t>
      </w:r>
    </w:p>
    <w:p>
      <w:pPr>
        <w:spacing w:after="60"/>
        <w:ind w:left="360" w:hanging="360"/>
        <w:jc w:val="both"/>
      </w:pPr>
      <w:r>
        <w:rPr>
          <w:rFonts w:ascii="Arial" w:hAnsi="Arial"/>
          <w:i w:val="0"/>
          <w:sz w:val="20"/>
        </w:rPr>
        <w:t xml:space="preserve">MORA RAMIREZ, Rafael, </w:t>
      </w:r>
      <w:r>
        <w:rPr>
          <w:rFonts w:ascii="Arial" w:hAnsi="Arial"/>
          <w:i/>
          <w:sz w:val="20"/>
        </w:rPr>
        <w:t>Para comprender a las falacias</w:t>
      </w:r>
      <w:r>
        <w:rPr>
          <w:rFonts w:ascii="Arial" w:hAnsi="Arial"/>
          <w:i w:val="0"/>
          <w:sz w:val="20"/>
        </w:rPr>
        <w:t>, Acuedu Ediciones, s. f.</w:t>
      </w:r>
    </w:p>
    <w:sectPr w:rsidR="00FC693F" w:rsidRPr="0006063C" w:rsidSect="00034616">
      <w:footerReference w:type="default" r:id="rId9"/>
      <w:pgSz w:w="12246" w:h="19276"/>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20"/>
      </w:rPr>
      <w:t xml:space="preserve">Página </w:t>
    </w:r>
    <w:r>
      <w:rPr>
        <w:rFonts w:ascii="Arial" w:hAnsi="Arial"/>
        <w:sz w:val="20"/>
      </w:rPr>
      <w:fldChar w:fldCharType="begin"/>
      <w:instrText xml:space="preserve">PAGE</w:instrText>
      <w:fldChar w:fldCharType="end"/>
    </w:r>
    <w:r>
      <w:rPr>
        <w:rFonts w:ascii="Arial" w:hAnsi="Arial"/>
        <w:sz w:val="20"/>
      </w:rPr>
      <w:t xml:space="preserve"> de </w:t>
    </w:r>
    <w:r>
      <w:rPr>
        <w:rFonts w:ascii="Arial" w:hAnsi="Arial"/>
        <w:sz w:val="20"/>
      </w:rP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