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RECURSO DE QUEJA. DESECHAMIENTO DEL AMPARO CONTRA EL BLOQUEO DE FONDOS POR UNA IFPE</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adáptalo a tu recurso de queja. Antes de escribir, reúne tres documentos: tu demanda de amparo con los anexos que exhibiste, el auto que la desechó de plano y la constancia de su notificación, porque de ahí sale la oportunidad del recurso.</w:t>
      </w:r>
    </w:p>
    <w:p>
      <w:pPr>
        <w:spacing w:line="360" w:lineRule="auto"/>
        <w:jc w:val="both"/>
      </w:pPr>
      <w:r>
        <w:rPr>
          <w:rFonts w:ascii="Arial" w:hAnsi="Arial"/>
          <w:b w:val="0"/>
          <w:i w:val="0"/>
          <w:sz w:val="24"/>
        </w:rPr>
        <w:t>Verifica en el auto cuál fue la razón exacta del desechamiento: este machote sirve cuando el juzgado sostuvo que la Institución de Fondos de Pago Electrónico es un particular sin carácter de autoridad responsable. Revisa también el circuito y la entidad donde se tramita el juicio, para decir con precisión si el criterio le resulta obligatorio al órgano que resolverá o si se invoca como orientador.</w:t>
      </w:r>
    </w:p>
    <w:p>
      <w:pPr>
        <w:spacing w:line="360" w:lineRule="auto"/>
        <w:jc w:val="both"/>
      </w:pPr>
      <w:r>
        <w:rPr>
          <w:rFonts w:ascii="Arial" w:hAnsi="Arial"/>
          <w:b w:val="0"/>
          <w:i w:val="0"/>
          <w:sz w:val="24"/>
        </w:rPr>
        <w:t>Después llena los campos editables, transcribe con fidelidad el razonamiento del auto y confirma cada dato contra tus constancias. Presenta el escrito dentro del plazo que fija la Ley de Amparo para el recurso de queja.</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AGRAVIO]</w:t>
      </w:r>
      <w:r>
        <w:rPr>
          <w:rFonts w:ascii="Arial" w:hAnsi="Arial"/>
          <w:b w:val="0"/>
          <w:i w:val="0"/>
          <w:sz w:val="24"/>
        </w:rPr>
        <w:t>: el ordinal que le corresponda en tu escrito (PRIMERO, SEGUNDO…).</w:t>
      </w:r>
    </w:p>
    <w:p>
      <w:pPr>
        <w:spacing w:line="360" w:lineRule="auto"/>
        <w:jc w:val="both"/>
      </w:pPr>
      <w:r>
        <w:rPr>
          <w:rFonts w:ascii="Arial" w:hAnsi="Arial"/>
          <w:b/>
          <w:i w:val="0"/>
          <w:sz w:val="24"/>
        </w:rPr>
        <w:t>[JUZGADO DE DISTRITO RESPONSABLE]</w:t>
      </w:r>
      <w:r>
        <w:rPr>
          <w:rFonts w:ascii="Arial" w:hAnsi="Arial"/>
          <w:b w:val="0"/>
          <w:i w:val="0"/>
          <w:sz w:val="24"/>
        </w:rPr>
        <w:t>: la denominación completa del juzgado que dictó el auto recurrido.</w:t>
      </w:r>
    </w:p>
    <w:p>
      <w:pPr>
        <w:spacing w:line="360" w:lineRule="auto"/>
        <w:jc w:val="both"/>
      </w:pPr>
      <w:r>
        <w:rPr>
          <w:rFonts w:ascii="Arial" w:hAnsi="Arial"/>
          <w:b/>
          <w:i w:val="0"/>
          <w:sz w:val="24"/>
        </w:rPr>
        <w:t>[NÚMERO DE EXPEDIENTE DEL JUICIO DE AMPARO]</w:t>
      </w:r>
      <w:r>
        <w:rPr>
          <w:rFonts w:ascii="Arial" w:hAnsi="Arial"/>
          <w:b w:val="0"/>
          <w:i w:val="0"/>
          <w:sz w:val="24"/>
        </w:rPr>
        <w:t>: el número que se asignó a tu demanda.</w:t>
      </w:r>
    </w:p>
    <w:p>
      <w:pPr>
        <w:spacing w:line="360" w:lineRule="auto"/>
        <w:jc w:val="both"/>
      </w:pPr>
      <w:r>
        <w:rPr>
          <w:rFonts w:ascii="Arial" w:hAnsi="Arial"/>
          <w:b/>
          <w:i w:val="0"/>
          <w:sz w:val="24"/>
        </w:rPr>
        <w:t>[FECHA DEL AUTO RECURRIDO]</w:t>
      </w:r>
      <w:r>
        <w:rPr>
          <w:rFonts w:ascii="Arial" w:hAnsi="Arial"/>
          <w:b w:val="0"/>
          <w:i w:val="0"/>
          <w:sz w:val="24"/>
        </w:rPr>
        <w:t>: la fecha exacta del acuerdo que desechó de plano la demanda.</w:t>
      </w:r>
    </w:p>
    <w:p>
      <w:pPr>
        <w:spacing w:line="360" w:lineRule="auto"/>
        <w:jc w:val="both"/>
      </w:pPr>
      <w:r>
        <w:rPr>
          <w:rFonts w:ascii="Arial" w:hAnsi="Arial"/>
          <w:b/>
          <w:i w:val="0"/>
          <w:sz w:val="24"/>
        </w:rPr>
        <w:t>[FECHA DE NOTIFICACIÓN DEL AUTO RECURRIDO]</w:t>
      </w:r>
      <w:r>
        <w:rPr>
          <w:rFonts w:ascii="Arial" w:hAnsi="Arial"/>
          <w:b w:val="0"/>
          <w:i w:val="0"/>
          <w:sz w:val="24"/>
        </w:rPr>
        <w:t>: la fecha en que surtió efectos la notificación, para acreditar la oportunidad del recurso.</w:t>
      </w:r>
    </w:p>
    <w:p>
      <w:pPr>
        <w:spacing w:line="360" w:lineRule="auto"/>
        <w:jc w:val="both"/>
      </w:pPr>
      <w:r>
        <w:rPr>
          <w:rFonts w:ascii="Arial" w:hAnsi="Arial"/>
          <w:b/>
          <w:i w:val="0"/>
          <w:sz w:val="24"/>
        </w:rPr>
        <w:t>[NOMBRE DE LA PERSONA QUEJOSA]</w:t>
      </w:r>
      <w:r>
        <w:rPr>
          <w:rFonts w:ascii="Arial" w:hAnsi="Arial"/>
          <w:b w:val="0"/>
          <w:i w:val="0"/>
          <w:sz w:val="24"/>
        </w:rPr>
        <w:t>: la persona titular de la cuenta que promovió el amparo.</w:t>
      </w:r>
    </w:p>
    <w:p>
      <w:pPr>
        <w:spacing w:line="360" w:lineRule="auto"/>
        <w:jc w:val="both"/>
      </w:pPr>
      <w:r>
        <w:rPr>
          <w:rFonts w:ascii="Arial" w:hAnsi="Arial"/>
          <w:b/>
          <w:i w:val="0"/>
          <w:sz w:val="24"/>
        </w:rPr>
        <w:t>[DENOMINACIÓN DE LA INSTITUCIÓN DE FONDOS DE PAGO ELECTRÓNICO]</w:t>
      </w:r>
      <w:r>
        <w:rPr>
          <w:rFonts w:ascii="Arial" w:hAnsi="Arial"/>
          <w:b w:val="0"/>
          <w:i w:val="0"/>
          <w:sz w:val="24"/>
        </w:rPr>
        <w:t>: el nombre completo de la institución señalada como responsable.</w:t>
      </w:r>
    </w:p>
    <w:p>
      <w:pPr>
        <w:spacing w:line="360" w:lineRule="auto"/>
        <w:jc w:val="both"/>
      </w:pPr>
      <w:r>
        <w:rPr>
          <w:rFonts w:ascii="Arial" w:hAnsi="Arial"/>
          <w:b/>
          <w:i w:val="0"/>
          <w:sz w:val="24"/>
        </w:rPr>
        <w:t>[ACTOS RECLAMADOS A LA INSTITUCIÓN]</w:t>
      </w:r>
      <w:r>
        <w:rPr>
          <w:rFonts w:ascii="Arial" w:hAnsi="Arial"/>
          <w:b w:val="0"/>
          <w:i w:val="0"/>
          <w:sz w:val="24"/>
        </w:rPr>
        <w:t>: el bloqueo, congelamiento, restricción o manejo de fondos, descrito como lo hiciste en la demanda.</w:t>
      </w:r>
    </w:p>
    <w:p>
      <w:pPr>
        <w:spacing w:line="360" w:lineRule="auto"/>
        <w:jc w:val="both"/>
      </w:pPr>
      <w:r>
        <w:rPr>
          <w:rFonts w:ascii="Arial" w:hAnsi="Arial"/>
          <w:b/>
          <w:i w:val="0"/>
          <w:sz w:val="24"/>
        </w:rPr>
        <w:t>[MONTO DE LOS FONDOS AFECTADOS]</w:t>
      </w:r>
      <w:r>
        <w:rPr>
          <w:rFonts w:ascii="Arial" w:hAnsi="Arial"/>
          <w:b w:val="0"/>
          <w:i w:val="0"/>
          <w:sz w:val="24"/>
        </w:rPr>
        <w:t>: la cantidad retenida, si consta en tus documentos.</w:t>
      </w:r>
    </w:p>
    <w:p>
      <w:pPr>
        <w:spacing w:line="360" w:lineRule="auto"/>
        <w:jc w:val="both"/>
      </w:pPr>
      <w:r>
        <w:rPr>
          <w:rFonts w:ascii="Arial" w:hAnsi="Arial"/>
          <w:b/>
          <w:i w:val="0"/>
          <w:sz w:val="24"/>
        </w:rPr>
        <w:t>[DOCUMENTOS EXHIBIDOS CON LA DEMANDA]</w:t>
      </w:r>
      <w:r>
        <w:rPr>
          <w:rFonts w:ascii="Arial" w:hAnsi="Arial"/>
          <w:b w:val="0"/>
          <w:i w:val="0"/>
          <w:sz w:val="24"/>
        </w:rPr>
        <w:t>: los estados de cuenta, capturas, correos o notificaciones que anexaste.</w:t>
      </w:r>
    </w:p>
    <w:p>
      <w:pPr>
        <w:spacing w:line="360" w:lineRule="auto"/>
        <w:jc w:val="both"/>
      </w:pPr>
      <w:r>
        <w:rPr>
          <w:rFonts w:ascii="Arial" w:hAnsi="Arial"/>
          <w:b/>
          <w:i w:val="0"/>
          <w:sz w:val="24"/>
        </w:rPr>
        <w:t>[AUTORIDAD DIVERSA EN CUYO AUXILIO PUDO ACTUAR LA INSTITUCIÓN]</w:t>
      </w:r>
      <w:r>
        <w:rPr>
          <w:rFonts w:ascii="Arial" w:hAnsi="Arial"/>
          <w:b w:val="0"/>
          <w:i w:val="0"/>
          <w:sz w:val="24"/>
        </w:rPr>
        <w:t>: la autoridad cuyo requerimiento coincide con el bloqueo, si la identificaste.</w:t>
      </w:r>
    </w:p>
    <w:p>
      <w:pPr>
        <w:spacing w:line="360" w:lineRule="auto"/>
        <w:jc w:val="both"/>
      </w:pPr>
      <w:r>
        <w:rPr>
          <w:rFonts w:ascii="Arial" w:hAnsi="Arial"/>
          <w:b/>
          <w:i w:val="0"/>
          <w:sz w:val="24"/>
        </w:rPr>
        <w:t>[DERECHOS HUMANOS RECLAMADOS COMO VIOLADOS]</w:t>
      </w:r>
      <w:r>
        <w:rPr>
          <w:rFonts w:ascii="Arial" w:hAnsi="Arial"/>
          <w:b w:val="0"/>
          <w:i w:val="0"/>
          <w:sz w:val="24"/>
        </w:rPr>
        <w:t>: los derechos que señalaste en tu demanda de amparo.</w:t>
      </w:r>
    </w:p>
    <w:p>
      <w:pPr>
        <w:spacing w:line="360" w:lineRule="auto"/>
        <w:jc w:val="both"/>
      </w:pPr>
      <w:r>
        <w:rPr>
          <w:rFonts w:ascii="Arial" w:hAnsi="Arial"/>
          <w:b/>
          <w:i w:val="0"/>
          <w:sz w:val="24"/>
        </w:rPr>
        <w:t>[CIRCUITO Y ENTIDAD DONDE SE TRAMITA EL JUICIO DE AMPARO]</w:t>
      </w:r>
      <w:r>
        <w:rPr>
          <w:rFonts w:ascii="Arial" w:hAnsi="Arial"/>
          <w:b w:val="0"/>
          <w:i w:val="0"/>
          <w:sz w:val="24"/>
        </w:rPr>
        <w:t>: el circuito y la entidad del juzgado de origen, dato que define si el criterio es obligatorio u orientador.</w:t>
      </w:r>
    </w:p>
    <w:p>
      <w:pPr>
        <w:spacing w:line="360" w:lineRule="auto"/>
        <w:jc w:val="both"/>
      </w:pPr>
      <w:r>
        <w:rPr>
          <w:rFonts w:ascii="Arial" w:hAnsi="Arial"/>
          <w:b/>
          <w:i w:val="0"/>
          <w:sz w:val="24"/>
        </w:rPr>
        <w:t>[TRANSCRIPCIÓN DEL RAZONAMIENTO DEL AUTO RECURRIDO]</w:t>
      </w:r>
      <w:r>
        <w:rPr>
          <w:rFonts w:ascii="Arial" w:hAnsi="Arial"/>
          <w:b w:val="0"/>
          <w:i w:val="0"/>
          <w:sz w:val="24"/>
        </w:rPr>
        <w:t>: la parte del auto en que el juzgado explica por qué desechó la demanda, transcrita de forma literal.</w:t>
      </w:r>
    </w:p>
    <w:p/>
    <w:p>
      <w:pPr>
        <w:spacing w:line="360" w:lineRule="auto"/>
        <w:jc w:val="both"/>
      </w:pPr>
      <w:r>
        <w:rPr>
          <w:rFonts w:ascii="Arial" w:hAnsi="Arial"/>
          <w:b/>
          <w:sz w:val="28"/>
        </w:rPr>
        <w:t>[NÚMERO ORDINAL DEL AGRAVIO] AGRAVIO. Indebido desechamiento de plano de la demanda de amparo indirecto. El Juzgado de Distrito calificó de manifiesta e indudable una improcedencia que no lo es, porque decidió desde el auto inicial que la Institución de Fondos de Pago Electrónico carece del carácter de autoridad responsable, siendo que esa calificación exige un estudio profundo que sólo puede realizarse una vez integrada la litis constitucional, en contra del artículo 113 de la Ley de Amparo, interpretado en la jurisprudencia PR.A.C.CS. J/8 C (12a.).</w:t>
      </w:r>
    </w:p>
    <w:p>
      <w:pPr>
        <w:spacing w:line="360" w:lineRule="auto"/>
        <w:jc w:val="both"/>
      </w:pPr>
      <w:r>
        <w:rPr>
          <w:rFonts w:ascii="Arial" w:hAnsi="Arial"/>
          <w:b/>
          <w:sz w:val="28"/>
        </w:rPr>
        <w:t>I. Síntesis del agravio.</w:t>
      </w:r>
    </w:p>
    <w:p>
      <w:pPr>
        <w:spacing w:line="360" w:lineRule="auto"/>
        <w:jc w:val="both"/>
      </w:pPr>
      <w:r>
        <w:rPr>
          <w:rFonts w:ascii="Arial" w:hAnsi="Arial"/>
          <w:b w:val="0"/>
          <w:i w:val="0"/>
          <w:sz w:val="28"/>
        </w:rPr>
        <w:t xml:space="preserve">En este apartado se demostrará que el </w:t>
      </w:r>
      <w:r>
        <w:rPr>
          <w:rFonts w:ascii="Arial" w:hAnsi="Arial"/>
          <w:b/>
          <w:i w:val="0"/>
          <w:sz w:val="28"/>
        </w:rPr>
        <w:t>[JUZGADO DE DISTRITO RESPONSABLE]</w:t>
      </w:r>
      <w:r>
        <w:rPr>
          <w:rFonts w:ascii="Arial" w:hAnsi="Arial"/>
          <w:b w:val="0"/>
          <w:i w:val="0"/>
          <w:sz w:val="28"/>
        </w:rPr>
        <w:t xml:space="preserve">, al dictar el auto de </w:t>
      </w:r>
      <w:r>
        <w:rPr>
          <w:rFonts w:ascii="Arial" w:hAnsi="Arial"/>
          <w:b/>
          <w:i w:val="0"/>
          <w:sz w:val="28"/>
        </w:rPr>
        <w:t>[FECHA DEL AUTO RECURRIDO]</w:t>
      </w:r>
      <w:r>
        <w:rPr>
          <w:rFonts w:ascii="Arial" w:hAnsi="Arial"/>
          <w:b w:val="0"/>
          <w:i w:val="0"/>
          <w:sz w:val="28"/>
        </w:rPr>
        <w:t xml:space="preserve"> en el juicio de amparo indirecto </w:t>
      </w:r>
      <w:r>
        <w:rPr>
          <w:rFonts w:ascii="Arial" w:hAnsi="Arial"/>
          <w:b/>
          <w:i w:val="0"/>
          <w:sz w:val="28"/>
        </w:rPr>
        <w:t>[NÚMERO DE EXPEDIENTE DEL JUICIO DE AMPARO]</w:t>
      </w:r>
      <w:r>
        <w:rPr>
          <w:rFonts w:ascii="Arial" w:hAnsi="Arial"/>
          <w:b w:val="0"/>
          <w:i w:val="0"/>
          <w:sz w:val="28"/>
        </w:rPr>
        <w:t xml:space="preserve">, desechó de plano la demanda promovida por </w:t>
      </w:r>
      <w:r>
        <w:rPr>
          <w:rFonts w:ascii="Arial" w:hAnsi="Arial"/>
          <w:b/>
          <w:i w:val="0"/>
          <w:sz w:val="28"/>
        </w:rPr>
        <w:t>[NOMBRE DE LA PERSONA QUEJOSA]</w:t>
      </w:r>
      <w:r>
        <w:rPr>
          <w:rFonts w:ascii="Arial" w:hAnsi="Arial"/>
          <w:b w:val="0"/>
          <w:i w:val="0"/>
          <w:sz w:val="28"/>
        </w:rPr>
        <w:t xml:space="preserve"> contra </w:t>
      </w:r>
      <w:r>
        <w:rPr>
          <w:rFonts w:ascii="Arial" w:hAnsi="Arial"/>
          <w:b/>
          <w:i w:val="0"/>
          <w:sz w:val="28"/>
        </w:rPr>
        <w:t>[ACTOS RECLAMADOS A LA INSTITUCIÓN]</w:t>
      </w:r>
      <w:r>
        <w:rPr>
          <w:rFonts w:ascii="Arial" w:hAnsi="Arial"/>
          <w:b w:val="0"/>
          <w:i w:val="0"/>
          <w:sz w:val="28"/>
        </w:rPr>
        <w:t xml:space="preserve">, atribuidos a </w:t>
      </w:r>
      <w:r>
        <w:rPr>
          <w:rFonts w:ascii="Arial" w:hAnsi="Arial"/>
          <w:b/>
          <w:i w:val="0"/>
          <w:sz w:val="28"/>
        </w:rPr>
        <w:t>[DENOMINACIÓN DE LA INSTITUCIÓN DE FONDOS DE PAGO ELECTRÓNICO]</w:t>
      </w:r>
      <w:r>
        <w:rPr>
          <w:rFonts w:ascii="Arial" w:hAnsi="Arial"/>
          <w:b w:val="0"/>
          <w:i w:val="0"/>
          <w:sz w:val="28"/>
        </w:rPr>
        <w:t>, bajo el único argumento de que esa institución es un particular que actúa dentro de una relación contractual de naturaleza mercantil y que, por ello, no puede ser señalada como autoridad responsable.</w:t>
      </w:r>
    </w:p>
    <w:p>
      <w:pPr>
        <w:spacing w:line="360" w:lineRule="auto"/>
        <w:jc w:val="both"/>
      </w:pPr>
      <w:r>
        <w:rPr>
          <w:rFonts w:ascii="Arial" w:hAnsi="Arial"/>
          <w:b w:val="0"/>
          <w:i w:val="0"/>
          <w:sz w:val="28"/>
        </w:rPr>
        <w:t>La demostración descansa en una premisa sencilla y verificable: el artículo 113 de la Ley de Amparo únicamente autoriza el desechamiento cuando la causa de improcedencia es manifiesta e indudable, es decir, cuando salta a la vista del propio escrito de demanda, de sus aclaraciones o de los documentos exhibidos con ella.</w:t>
      </w:r>
    </w:p>
    <w:p>
      <w:pPr>
        <w:spacing w:line="360" w:lineRule="auto"/>
        <w:jc w:val="both"/>
      </w:pPr>
      <w:r>
        <w:rPr>
          <w:rFonts w:ascii="Arial" w:hAnsi="Arial"/>
          <w:b w:val="0"/>
          <w:i w:val="0"/>
          <w:sz w:val="28"/>
        </w:rPr>
        <w:t>Y decidir si una Institución de Fondos de Pago Electrónico bloqueó los fondos como simple contratante, en cumplimiento de la Ley para Regular las Instituciones de Tecnología Financiera o en auxilio de una autoridad diversa, no es una cuestión que salte a la vista, sino un problema que exige prueba y contradicción entre las partes.</w:t>
      </w:r>
    </w:p>
    <w:p>
      <w:pPr>
        <w:spacing w:line="360" w:lineRule="auto"/>
        <w:jc w:val="both"/>
      </w:pPr>
      <w:r>
        <w:rPr>
          <w:rFonts w:ascii="Arial" w:hAnsi="Arial"/>
          <w:b w:val="0"/>
          <w:i w:val="0"/>
          <w:sz w:val="28"/>
        </w:rPr>
        <w:t xml:space="preserve">El desechamiento tampoco fue un tropiezo procesal inocuo. Al negarse la admisión, el juicio de amparo nunca comenzó: no se pidió informe justificado, no se abrió el incidente de suspensión y la persona quejosa quedó sin la medida cautelar capaz de devolverle la disponibilidad de </w:t>
      </w:r>
      <w:r>
        <w:rPr>
          <w:rFonts w:ascii="Arial" w:hAnsi="Arial"/>
          <w:b/>
          <w:i w:val="0"/>
          <w:sz w:val="28"/>
        </w:rPr>
        <w:t>[MONTO DE LOS FONDOS AFECTADOS]</w:t>
      </w:r>
      <w:r>
        <w:rPr>
          <w:rFonts w:ascii="Arial" w:hAnsi="Arial"/>
          <w:b w:val="0"/>
          <w:i w:val="0"/>
          <w:sz w:val="28"/>
        </w:rPr>
        <w:t>, que permanecen retenidos en su cuenta de fondos de pago electrónico sin resolución que lo justifique y sin foro donde discutirlo.</w:t>
      </w:r>
    </w:p>
    <w:p>
      <w:pPr>
        <w:spacing w:line="360" w:lineRule="auto"/>
        <w:jc w:val="both"/>
      </w:pPr>
      <w:r>
        <w:rPr>
          <w:rFonts w:ascii="Arial" w:hAnsi="Arial"/>
          <w:b w:val="0"/>
          <w:i w:val="0"/>
          <w:sz w:val="28"/>
        </w:rPr>
        <w:t>Si la premisa se respeta, la conclusión es forzosa: el auto recurrido es ilegal, procede declarar fundado este agravio y, con fundamento en el artículo 103 de la Ley de Amparo, dejarlo sin efecto para que el Juzgado de Distrito admita la demanda, provea sobre la suspensión y difiera al momento procesal oportuno el examen de la calidad con que actuó la institución señalada como responsable.</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La resolución recurrida es el auto de </w:t>
      </w:r>
      <w:r>
        <w:rPr>
          <w:rFonts w:ascii="Arial" w:hAnsi="Arial"/>
          <w:b/>
          <w:i w:val="0"/>
          <w:sz w:val="28"/>
        </w:rPr>
        <w:t>[FECHA DEL AUTO RECURRIDO]</w:t>
      </w:r>
      <w:r>
        <w:rPr>
          <w:rFonts w:ascii="Arial" w:hAnsi="Arial"/>
          <w:b w:val="0"/>
          <w:i w:val="0"/>
          <w:sz w:val="28"/>
        </w:rPr>
        <w:t xml:space="preserve">, notificado a la parte quejosa el </w:t>
      </w:r>
      <w:r>
        <w:rPr>
          <w:rFonts w:ascii="Arial" w:hAnsi="Arial"/>
          <w:b/>
          <w:i w:val="0"/>
          <w:sz w:val="28"/>
        </w:rPr>
        <w:t>[FECHA DE NOTIFICACIÓN DEL AUTO RECURRIDO]</w:t>
      </w:r>
      <w:r>
        <w:rPr>
          <w:rFonts w:ascii="Arial" w:hAnsi="Arial"/>
          <w:b w:val="0"/>
          <w:i w:val="0"/>
          <w:sz w:val="28"/>
        </w:rPr>
        <w:t>, por el que se desechó de plano la demanda de amparo indirecto. Contra esa determinación procede el recurso de queja, conforme al artículo 97, fracción I, inciso a), de la Ley de Amparo, que lo admite frente a las resoluciones que desechan una demanda de amparo indirecto; se interpone dentro del plazo previsto en el artículo 98 de esa Ley y en él se expresan los agravios que la resolución causa, como ordena su artículo 100.</w:t>
      </w:r>
    </w:p>
    <w:p>
      <w:pPr>
        <w:spacing w:line="360" w:lineRule="auto"/>
        <w:jc w:val="both"/>
      </w:pPr>
      <w:r>
        <w:rPr>
          <w:rFonts w:ascii="Arial" w:hAnsi="Arial"/>
          <w:b w:val="0"/>
          <w:i w:val="0"/>
          <w:sz w:val="28"/>
        </w:rPr>
        <w:t>Las normas cuya inobservancia se plantea son el artículo 113 de la Ley de Amparo, que sujeta el desechamiento a una causa manifiesta e indudable de improcedencia; el artículo 5o., fracción II, párrafo segundo, de la propia Ley, que atribuye a las personas particulares la calidad de autoridad responsable cuando realizan actos equivalentes a los de autoridad y sus funciones están determinadas por una norma general; y los artículos 1o. y 17 de la Constitución Política de los Estados Unidos Mexicanos, en cuanto garantizan la protección más amplia y el acceso efectivo a la jurisdicción.</w:t>
      </w:r>
    </w:p>
    <w:p>
      <w:pPr>
        <w:spacing w:line="360" w:lineRule="auto"/>
        <w:jc w:val="both"/>
      </w:pPr>
      <w:r>
        <w:rPr>
          <w:rFonts w:ascii="Arial" w:hAnsi="Arial"/>
          <w:b w:val="0"/>
          <w:i w:val="0"/>
          <w:sz w:val="28"/>
        </w:rPr>
        <w:t xml:space="preserve">El perjuicio es concreto y actual. En la demanda se reclamaron </w:t>
      </w:r>
      <w:r>
        <w:rPr>
          <w:rFonts w:ascii="Arial" w:hAnsi="Arial"/>
          <w:b/>
          <w:i w:val="0"/>
          <w:sz w:val="28"/>
        </w:rPr>
        <w:t>[ACTOS RECLAMADOS A LA INSTITUCIÓN]</w:t>
      </w:r>
      <w:r>
        <w:rPr>
          <w:rFonts w:ascii="Arial" w:hAnsi="Arial"/>
          <w:b w:val="0"/>
          <w:i w:val="0"/>
          <w:sz w:val="28"/>
        </w:rPr>
        <w:t xml:space="preserve"> y se señalaron como violados </w:t>
      </w:r>
      <w:r>
        <w:rPr>
          <w:rFonts w:ascii="Arial" w:hAnsi="Arial"/>
          <w:b/>
          <w:i w:val="0"/>
          <w:sz w:val="28"/>
        </w:rPr>
        <w:t>[DERECHOS HUMANOS RECLAMADOS COMO VIOLADOS]</w:t>
      </w:r>
      <w:r>
        <w:rPr>
          <w:rFonts w:ascii="Arial" w:hAnsi="Arial"/>
          <w:b w:val="0"/>
          <w:i w:val="0"/>
          <w:sz w:val="28"/>
        </w:rPr>
        <w:t xml:space="preserve">; con el escrito se exhibieron </w:t>
      </w:r>
      <w:r>
        <w:rPr>
          <w:rFonts w:ascii="Arial" w:hAnsi="Arial"/>
          <w:b/>
          <w:i w:val="0"/>
          <w:sz w:val="28"/>
        </w:rPr>
        <w:t>[DOCUMENTOS EXHIBIDOS CON LA DEMANDA]</w:t>
      </w:r>
      <w:r>
        <w:rPr>
          <w:rFonts w:ascii="Arial" w:hAnsi="Arial"/>
          <w:b w:val="0"/>
          <w:i w:val="0"/>
          <w:sz w:val="28"/>
        </w:rPr>
        <w:t xml:space="preserve">, de los que se advierte que la restricción no se explica por sí sola en el contrato, pues coincide con el requerimiento de </w:t>
      </w:r>
      <w:r>
        <w:rPr>
          <w:rFonts w:ascii="Arial" w:hAnsi="Arial"/>
          <w:b/>
          <w:i w:val="0"/>
          <w:sz w:val="28"/>
        </w:rPr>
        <w:t>[AUTORIDAD DIVERSA EN CUYO AUXILIO PUDO ACTUAR LA INSTITUCIÓN]</w:t>
      </w:r>
      <w:r>
        <w:rPr>
          <w:rFonts w:ascii="Arial" w:hAnsi="Arial"/>
          <w:b w:val="0"/>
          <w:i w:val="0"/>
          <w:sz w:val="28"/>
        </w:rPr>
        <w:t>. Al cerrarse la puerta en el auto inicial, esa afirmación jamás pudo probarse ni refutarse.</w:t>
      </w:r>
    </w:p>
    <w:p>
      <w:pPr>
        <w:spacing w:line="360" w:lineRule="auto"/>
        <w:jc w:val="both"/>
      </w:pPr>
      <w:r>
        <w:rPr>
          <w:rFonts w:ascii="Arial" w:hAnsi="Arial"/>
          <w:b w:val="0"/>
          <w:i w:val="0"/>
          <w:sz w:val="28"/>
        </w:rPr>
        <w:t>De prosperar el agravio, el beneficio es completo: se abre el juicio, se rinde el informe justificado, se integra la litis constitucional y el Juzgado de Distrito queda en aptitud de decidir, con elementos, si la institución actuó como particular o como autoridad para efectos del amparo, decisión que hoy se adelantó sin prueba alguna.</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 xml:space="preserve">Conviene comenzar por lo que el desechamiento de plano significa. El artículo 113 de la Ley de Amparo dispone que </w:t>
      </w:r>
      <w:r>
        <w:rPr>
          <w:rFonts w:ascii="Arial" w:hAnsi="Arial"/>
          <w:b w:val="0"/>
          <w:i/>
          <w:sz w:val="28"/>
        </w:rPr>
        <w:t>“el órgano jurisdiccional que conozca del juicio de amparo indirecto examinará el escrito de demanda y si existiera causa manifiesta e indudable de improcedencia la desechará de plano”</w:t>
      </w:r>
      <w:r>
        <w:rPr>
          <w:rFonts w:ascii="Arial" w:hAnsi="Arial"/>
          <w:b w:val="0"/>
          <w:i w:val="0"/>
          <w:sz w:val="28"/>
        </w:rPr>
        <w:t>. Es la negación del acto de admisión: si la improcedencia se advierte y se demuestra desde la recepción de la demanda, el juicio de amparo nunca inicia y concluye con el primer acuerdo que recae a su presentación.</w:t>
      </w:r>
      <w:r>
        <w:rPr>
          <w:rFonts w:ascii="Arial" w:hAnsi="Arial"/>
          <w:vertAlign w:val="superscript"/>
        </w:rPr>
        <w:t>1</w:t>
      </w:r>
    </w:p>
    <w:p>
      <w:pPr>
        <w:spacing w:line="360" w:lineRule="auto"/>
        <w:jc w:val="both"/>
      </w:pPr>
      <w:r>
        <w:rPr>
          <w:rFonts w:ascii="Arial" w:hAnsi="Arial"/>
          <w:b w:val="0"/>
          <w:i w:val="0"/>
          <w:sz w:val="28"/>
        </w:rPr>
        <w:t>Por eso el estándar es tan exigente. Lo manifiesto alude a lo que se aprecia de modo patente, y lo indudable a que no admite prueba en contrario dentro del propio juicio; ambos calificativos operan juntos y descartan el desechamiento cuando la improcedencia depende de datos que aún no obran, de la posición de la parte contraria o de una valoración jurídica discutible.</w:t>
      </w:r>
    </w:p>
    <w:p>
      <w:pPr>
        <w:spacing w:line="360" w:lineRule="auto"/>
        <w:jc w:val="both"/>
      </w:pPr>
      <w:r>
        <w:rPr>
          <w:rFonts w:ascii="Arial" w:hAnsi="Arial"/>
          <w:b w:val="0"/>
          <w:i w:val="0"/>
          <w:sz w:val="28"/>
        </w:rPr>
        <w:t>La doctrina que estudia el acceso a la justicia advierte, en esa misma línea, que los requisitos procesales no pueden convertirse en obstáculos serios para acudir ante los tribunales y que las normas que los prevén deben interpretarse en el sentido más favorable a la admisión de las pretensiones procesales.</w:t>
      </w:r>
      <w:r>
        <w:rPr>
          <w:rFonts w:ascii="Arial" w:hAnsi="Arial"/>
          <w:vertAlign w:val="superscript"/>
        </w:rPr>
        <w:t>2</w:t>
      </w:r>
      <w:r>
        <w:rPr>
          <w:rFonts w:ascii="Arial" w:hAnsi="Arial"/>
          <w:b w:val="0"/>
          <w:i w:val="0"/>
          <w:sz w:val="28"/>
        </w:rPr>
        <w:t xml:space="preserve"> Trasladada al auto inicial, esa directriz significa que la duda sobre la procedencia se resuelve admitiendo, no desechando.</w:t>
      </w:r>
    </w:p>
    <w:p>
      <w:pPr>
        <w:spacing w:line="360" w:lineRule="auto"/>
        <w:jc w:val="both"/>
      </w:pPr>
      <w:r>
        <w:rPr>
          <w:rFonts w:ascii="Arial" w:hAnsi="Arial"/>
          <w:b w:val="0"/>
          <w:i w:val="0"/>
          <w:sz w:val="28"/>
        </w:rPr>
        <w:t xml:space="preserve">La cuestión de fondo que el auto recurrido resolvió anticipadamente es la calidad de autoridad responsable. El artículo 5o., fracción II, párrafo segundo, de la Ley de Amparo prevé que </w:t>
      </w:r>
      <w:r>
        <w:rPr>
          <w:rFonts w:ascii="Arial" w:hAnsi="Arial"/>
          <w:b w:val="0"/>
          <w:i/>
          <w:sz w:val="28"/>
        </w:rPr>
        <w:t>“para los efectos de esta Ley, las y los particulares tendrán la calidad de autoridad responsable cuando realicen actos equivalentes a los de autoridad, que afecten derechos en los términos de esta fracción, y cuyas funciones estén determinadas por una norma general”</w:t>
      </w:r>
      <w:r>
        <w:rPr>
          <w:rFonts w:ascii="Arial" w:hAnsi="Arial"/>
          <w:b w:val="0"/>
          <w:i w:val="0"/>
          <w:sz w:val="28"/>
        </w:rPr>
        <w:t>. Con esa previsión, explica la doctrina, se logró una protección horizontal de los derechos fundamentales.</w:t>
      </w:r>
      <w:r>
        <w:rPr>
          <w:rFonts w:ascii="Arial" w:hAnsi="Arial"/>
          <w:vertAlign w:val="superscript"/>
        </w:rPr>
        <w:t>3</w:t>
      </w:r>
    </w:p>
    <w:p>
      <w:pPr>
        <w:spacing w:line="360" w:lineRule="auto"/>
        <w:jc w:val="both"/>
      </w:pPr>
      <w:r>
        <w:rPr>
          <w:rFonts w:ascii="Arial" w:hAnsi="Arial"/>
          <w:b w:val="0"/>
          <w:i w:val="0"/>
          <w:sz w:val="28"/>
        </w:rPr>
        <w:t>Determinar si un acto encaja en ese supuesto nunca ha sido un juicio de simple apariencia. Para establecer si quien emite el acto es autoridad para efectos del amparo debe atenderse a la norma legal y examinarse si lo faculta o no para tomar decisiones o resoluciones que afecten unilateralmente la esfera jurídica de la persona interesada, exigibles mediante el uso de la fuerza pública o a través de otras autoridades.</w:t>
      </w:r>
      <w:r>
        <w:rPr>
          <w:rFonts w:ascii="Arial" w:hAnsi="Arial"/>
          <w:vertAlign w:val="superscript"/>
        </w:rPr>
        <w:t>4</w:t>
      </w:r>
      <w:r>
        <w:rPr>
          <w:rFonts w:ascii="Arial" w:hAnsi="Arial"/>
          <w:b w:val="0"/>
          <w:i w:val="0"/>
          <w:sz w:val="28"/>
        </w:rPr>
        <w:t xml:space="preserve"> Ese examen supone leer la norma general, conocer el acto concreto y contrastarlo con la conducta efectivamente desplegada.</w:t>
      </w:r>
    </w:p>
    <w:p>
      <w:pPr>
        <w:spacing w:line="360" w:lineRule="auto"/>
        <w:jc w:val="both"/>
      </w:pPr>
      <w:r>
        <w:rPr>
          <w:rFonts w:ascii="Arial" w:hAnsi="Arial"/>
          <w:b w:val="0"/>
          <w:i w:val="0"/>
          <w:sz w:val="28"/>
        </w:rPr>
        <w:t>Sobre esa base, el Pleno Regional en Materias Administrativa y Civil de la Región Centro-Sur, con residencia en la Ciudad de México, al resolver la contradicción de criterios 15/2026, fijó la jurisprudencia PR.A.C.CS. J/8 C (12a.), Duodécima Época, Plenos Regionales, registro digital 2032579, publicada en el Semanario Judicial de la Federación el viernes 4 de septiembre de 2026 y de aplicación obligatoria a partir del lunes 7 de septiembre de 2026.</w:t>
      </w:r>
    </w:p>
    <w:p>
      <w:pPr>
        <w:spacing w:line="360" w:lineRule="auto"/>
        <w:jc w:val="both"/>
      </w:pPr>
      <w:r>
        <w:rPr>
          <w:rFonts w:ascii="Arial" w:hAnsi="Arial"/>
          <w:b w:val="0"/>
          <w:i w:val="0"/>
          <w:sz w:val="28"/>
        </w:rPr>
        <w:t xml:space="preserve">Su rubro es el siguiente: </w:t>
      </w:r>
      <w:r>
        <w:rPr>
          <w:rFonts w:ascii="Arial" w:hAnsi="Arial"/>
          <w:b w:val="0"/>
          <w:i/>
          <w:sz w:val="28"/>
        </w:rPr>
        <w:t>“AUTO INICIAL DE TRÁMITE DE LA DEMANDA DE AMPARO INDIRECTO. NO ES LA ACTUACIÓN PROCESAL OPORTUNA PARA DETERMINAR SI EL BLOQUEO, CONGELAMIENTO, RESTRICCIÓN O MANEJO DE FONDOS REALIZADOS POR LAS INSTITUCIONES DE FONDOS DE PAGO ELECTRÓNICO (IFPE), SON ACTOS DE PARTICULARES EQUIPARABLES A LOS DE AUTORIDAD.”</w:t>
      </w:r>
    </w:p>
    <w:p>
      <w:pPr>
        <w:spacing w:line="360" w:lineRule="auto"/>
        <w:jc w:val="both"/>
      </w:pPr>
      <w:r>
        <w:rPr>
          <w:rFonts w:ascii="Arial" w:hAnsi="Arial"/>
          <w:b w:val="0"/>
          <w:i w:val="0"/>
          <w:sz w:val="28"/>
        </w:rPr>
        <w:t xml:space="preserve">Su criterio jurídico es el siguiente: </w:t>
      </w:r>
      <w:r>
        <w:rPr>
          <w:rFonts w:ascii="Arial" w:hAnsi="Arial"/>
          <w:b w:val="0"/>
          <w:i/>
          <w:sz w:val="28"/>
        </w:rPr>
        <w:t>“Cuando en una demanda de amparo indirecto se reclaman de una IFPE actos relacionados con el bloqueo, congelamiento, restricción o manejo de fondos, por regla general, el auto inicial no es la actuación procesal oportuna para resolver si son equiparables a los de autoridad para efectos del juicio de amparo”</w:t>
      </w:r>
      <w:r>
        <w:rPr>
          <w:rFonts w:ascii="Arial" w:hAnsi="Arial"/>
          <w:b w:val="0"/>
          <w:i w:val="0"/>
          <w:sz w:val="28"/>
        </w:rPr>
        <w:t>.</w:t>
      </w:r>
    </w:p>
    <w:p>
      <w:pPr>
        <w:spacing w:line="360" w:lineRule="auto"/>
        <w:jc w:val="both"/>
      </w:pPr>
      <w:r>
        <w:rPr>
          <w:rFonts w:ascii="Arial" w:hAnsi="Arial"/>
          <w:b w:val="0"/>
          <w:i w:val="0"/>
          <w:sz w:val="28"/>
        </w:rPr>
        <w:t xml:space="preserve">En la justificación, el Pleno Regional recordó el alcance del precepto aplicado por el Juzgado de Distrito: </w:t>
      </w:r>
      <w:r>
        <w:rPr>
          <w:rFonts w:ascii="Arial" w:hAnsi="Arial"/>
          <w:b w:val="0"/>
          <w:i/>
          <w:sz w:val="28"/>
        </w:rPr>
        <w:t>“El artículo 113 de la Ley de Amparo permite desechar de plano una demanda cuando se advierta una causa manifiesta e indudable de improcedencia, lo que implica que se desprenda con absoluta claridad del propio escrito de demanda, de sus aclaraciones o de los documentos exhibidos con ella, al grado de que, aun cuando se admitiera la demanda y se siguiera todo el procedimiento, no sería posible llegar a una conclusión distinta”</w:t>
      </w:r>
      <w:r>
        <w:rPr>
          <w:rFonts w:ascii="Arial" w:hAnsi="Arial"/>
          <w:b w:val="0"/>
          <w:i w:val="0"/>
          <w:sz w:val="28"/>
        </w:rPr>
        <w:t>.</w:t>
      </w:r>
    </w:p>
    <w:p>
      <w:pPr>
        <w:spacing w:line="360" w:lineRule="auto"/>
        <w:jc w:val="both"/>
      </w:pPr>
      <w:r>
        <w:rPr>
          <w:rFonts w:ascii="Arial" w:hAnsi="Arial"/>
          <w:b w:val="0"/>
          <w:i w:val="0"/>
          <w:sz w:val="28"/>
        </w:rPr>
        <w:t xml:space="preserve">Enseguida precisó que los actos de particulares son reclamables en amparo cuando equivalen a los de autoridad, para lo cual </w:t>
      </w:r>
      <w:r>
        <w:rPr>
          <w:rFonts w:ascii="Arial" w:hAnsi="Arial"/>
          <w:b w:val="0"/>
          <w:i/>
          <w:sz w:val="28"/>
        </w:rPr>
        <w:t>“deben derivar del mandato expreso de la ley, ser unilaterales, imperativos y coercitivos, como si se tratara de los emitidos por un órgano del Estado”</w:t>
      </w:r>
      <w:r>
        <w:rPr>
          <w:rFonts w:ascii="Arial" w:hAnsi="Arial"/>
          <w:b w:val="0"/>
          <w:i w:val="0"/>
          <w:sz w:val="28"/>
        </w:rPr>
        <w:t>.</w:t>
      </w:r>
    </w:p>
    <w:p>
      <w:pPr>
        <w:spacing w:line="360" w:lineRule="auto"/>
        <w:jc w:val="both"/>
      </w:pPr>
      <w:r>
        <w:rPr>
          <w:rFonts w:ascii="Arial" w:hAnsi="Arial"/>
          <w:b w:val="0"/>
          <w:i w:val="0"/>
          <w:sz w:val="28"/>
        </w:rPr>
        <w:t xml:space="preserve">Y concluyó que, tratándose de una Institución de Fondos de Pago Electrónico, </w:t>
      </w:r>
      <w:r>
        <w:rPr>
          <w:rFonts w:ascii="Arial" w:hAnsi="Arial"/>
          <w:b w:val="0"/>
          <w:i/>
          <w:sz w:val="28"/>
        </w:rPr>
        <w:t>“la sola regulación de la actividad financiera tecnológica no basta para tener por acreditado que la institución actúa como autoridad responsable”</w:t>
      </w:r>
      <w:r>
        <w:rPr>
          <w:rFonts w:ascii="Arial" w:hAnsi="Arial"/>
          <w:b w:val="0"/>
          <w:i w:val="0"/>
          <w:sz w:val="28"/>
        </w:rPr>
        <w:t xml:space="preserve">, de modo que </w:t>
      </w:r>
      <w:r>
        <w:rPr>
          <w:rFonts w:ascii="Arial" w:hAnsi="Arial"/>
          <w:b w:val="0"/>
          <w:i/>
          <w:sz w:val="28"/>
        </w:rPr>
        <w:t>“generalmente se requiere un estudio profundo y complejo para determinarlo, análisis que sólo puede realizarse una vez integrada la litis constitucional”</w:t>
      </w:r>
      <w:r>
        <w:rPr>
          <w:rFonts w:ascii="Arial" w:hAnsi="Arial"/>
          <w:b w:val="0"/>
          <w:i w:val="0"/>
          <w:sz w:val="28"/>
        </w:rPr>
        <w:t>.</w:t>
      </w:r>
    </w:p>
    <w:p>
      <w:pPr>
        <w:spacing w:line="360" w:lineRule="auto"/>
        <w:jc w:val="both"/>
      </w:pPr>
      <w:r>
        <w:rPr>
          <w:rFonts w:ascii="Arial" w:hAnsi="Arial"/>
          <w:b w:val="0"/>
          <w:i w:val="0"/>
          <w:sz w:val="28"/>
        </w:rPr>
        <w:t xml:space="preserve">El propio criterio delimita su excepción, y conviene tenerla presente para no exagerar el argumento: </w:t>
      </w:r>
      <w:r>
        <w:rPr>
          <w:rFonts w:ascii="Arial" w:hAnsi="Arial"/>
          <w:b w:val="0"/>
          <w:i/>
          <w:sz w:val="28"/>
        </w:rPr>
        <w:t>“si de la demanda de amparo, las manifestaciones de la parte quejosa o los documentos anexos se acredita de manera fehaciente que dichos actos derivan exclusivamente del contrato celebrado entre la persona usuaria y la institución, entonces la improcedencia del juicio será manifiesta e indudable”</w:t>
      </w:r>
      <w:r>
        <w:rPr>
          <w:rFonts w:ascii="Arial" w:hAnsi="Arial"/>
          <w:b w:val="0"/>
          <w:i w:val="0"/>
          <w:sz w:val="28"/>
        </w:rPr>
        <w:t>. La regla, pues, es la admisión; el desechamiento es la excepción y su carga recae en quien la afirma, con apoyo en constancias, no en conjeturas.</w:t>
      </w:r>
    </w:p>
    <w:p>
      <w:pPr>
        <w:spacing w:line="360" w:lineRule="auto"/>
        <w:jc w:val="both"/>
      </w:pPr>
      <w:r>
        <w:rPr>
          <w:rFonts w:ascii="Arial" w:hAnsi="Arial"/>
          <w:b w:val="0"/>
          <w:i w:val="0"/>
          <w:sz w:val="28"/>
        </w:rPr>
        <w:t>Resta precisar el ámbito de esa jurisprudencia, que se invoca con la extensión que la ley le reconoce y no con una mayor. Conforme al artículo 217, párrafo segundo, de la Ley de Amparo, la jurisprudencia que establecen los plenos regionales es obligatoria para todas las autoridades jurisdiccionales de la Federación y de las entidades federativas de su región, salvo para la Suprema Corte de Justicia de la Nación y los propios plenos regionales. Por tanto, obliga a las autoridades jurisdiccionales de la Región Centro-Sur y, fuera de ella, se invoca como criterio orientador por la fuerza de sus razones.</w:t>
      </w:r>
    </w:p>
    <w:p>
      <w:pPr>
        <w:spacing w:line="360" w:lineRule="auto"/>
        <w:jc w:val="both"/>
      </w:pPr>
      <w:r>
        <w:rPr>
          <w:rFonts w:ascii="Arial" w:hAnsi="Arial"/>
          <w:b w:val="0"/>
          <w:i w:val="0"/>
          <w:sz w:val="28"/>
        </w:rPr>
        <w:t xml:space="preserve">Dado que el juicio de amparo se tramita en </w:t>
      </w:r>
      <w:r>
        <w:rPr>
          <w:rFonts w:ascii="Arial" w:hAnsi="Arial"/>
          <w:b/>
          <w:i w:val="0"/>
          <w:sz w:val="28"/>
        </w:rPr>
        <w:t>[CIRCUITO Y ENTIDAD DONDE SE TRAMITA EL JUICIO DE AMPARO]</w:t>
      </w:r>
      <w:r>
        <w:rPr>
          <w:rFonts w:ascii="Arial" w:hAnsi="Arial"/>
          <w:b w:val="0"/>
          <w:i w:val="0"/>
          <w:sz w:val="28"/>
        </w:rPr>
        <w:t>, corresponde a este Tribunal Colegiado de Circuito verificar si el órgano de origen pertenece a la Región Centro-Sur, en cuyo caso el criterio le resulta obligatorio en términos del artículo 217, párrafo segundo, de la Ley de Amparo; si el asunto se sigue fuera de esa región, la jurisprudencia se invoca como criterio orientador, sin que ello reste un ápice a la premisa normativa que aquí se sostiene, pues ésta se apoya, ante todo, en el texto del artículo 113 de la Ley de Amparo.</w:t>
      </w:r>
    </w:p>
    <w:p>
      <w:pPr>
        <w:spacing w:line="360" w:lineRule="auto"/>
        <w:jc w:val="both"/>
      </w:pPr>
      <w:r>
        <w:rPr>
          <w:rFonts w:ascii="Arial" w:hAnsi="Arial"/>
          <w:b/>
          <w:sz w:val="28"/>
        </w:rPr>
        <w:t>IV. Aplicación al caso concreto y refutación del razonamiento del auto recurrido.</w:t>
      </w:r>
    </w:p>
    <w:p>
      <w:pPr>
        <w:spacing w:line="360" w:lineRule="auto"/>
        <w:jc w:val="both"/>
      </w:pPr>
      <w:r>
        <w:rPr>
          <w:rFonts w:ascii="Arial" w:hAnsi="Arial"/>
          <w:b w:val="0"/>
          <w:i w:val="0"/>
          <w:sz w:val="28"/>
        </w:rPr>
        <w:t xml:space="preserve">Los hechos encajan en la premisa expuesta. En la demanda de amparo se reclamaron </w:t>
      </w:r>
      <w:r>
        <w:rPr>
          <w:rFonts w:ascii="Arial" w:hAnsi="Arial"/>
          <w:b/>
          <w:i w:val="0"/>
          <w:sz w:val="28"/>
        </w:rPr>
        <w:t>[ACTOS RECLAMADOS A LA INSTITUCIÓN]</w:t>
      </w:r>
      <w:r>
        <w:rPr>
          <w:rFonts w:ascii="Arial" w:hAnsi="Arial"/>
          <w:b w:val="0"/>
          <w:i w:val="0"/>
          <w:sz w:val="28"/>
        </w:rPr>
        <w:t xml:space="preserve"> respecto de los fondos depositados en la cuenta de fondos de pago electrónico de </w:t>
      </w:r>
      <w:r>
        <w:rPr>
          <w:rFonts w:ascii="Arial" w:hAnsi="Arial"/>
          <w:b/>
          <w:i w:val="0"/>
          <w:sz w:val="28"/>
        </w:rPr>
        <w:t>[NOMBRE DE LA PERSONA QUEJOSA]</w:t>
      </w:r>
      <w:r>
        <w:rPr>
          <w:rFonts w:ascii="Arial" w:hAnsi="Arial"/>
          <w:b w:val="0"/>
          <w:i w:val="0"/>
          <w:sz w:val="28"/>
        </w:rPr>
        <w:t xml:space="preserve">, se señaló como responsable a </w:t>
      </w:r>
      <w:r>
        <w:rPr>
          <w:rFonts w:ascii="Arial" w:hAnsi="Arial"/>
          <w:b/>
          <w:i w:val="0"/>
          <w:sz w:val="28"/>
        </w:rPr>
        <w:t>[DENOMINACIÓN DE LA INSTITUCIÓN DE FONDOS DE PAGO ELECTRÓNICO]</w:t>
      </w:r>
      <w:r>
        <w:rPr>
          <w:rFonts w:ascii="Arial" w:hAnsi="Arial"/>
          <w:b w:val="0"/>
          <w:i w:val="0"/>
          <w:sz w:val="28"/>
        </w:rPr>
        <w:t xml:space="preserve"> y se expusieron las razones por las que la restricción no obedece al simple ejercicio de una facultad contractual, sino a obligaciones impuestas por la regulación financiera o al auxilio prestado a </w:t>
      </w:r>
      <w:r>
        <w:rPr>
          <w:rFonts w:ascii="Arial" w:hAnsi="Arial"/>
          <w:b/>
          <w:i w:val="0"/>
          <w:sz w:val="28"/>
        </w:rPr>
        <w:t>[AUTORIDAD DIVERSA EN CUYO AUXILIO PUDO ACTUAR LA INSTITUCIÓN]</w:t>
      </w:r>
      <w:r>
        <w:rPr>
          <w:rFonts w:ascii="Arial" w:hAnsi="Arial"/>
          <w:b w:val="0"/>
          <w:i w:val="0"/>
          <w:sz w:val="28"/>
        </w:rPr>
        <w:t>.</w:t>
      </w:r>
    </w:p>
    <w:p>
      <w:pPr>
        <w:spacing w:line="360" w:lineRule="auto"/>
        <w:jc w:val="both"/>
      </w:pPr>
      <w:r>
        <w:rPr>
          <w:rFonts w:ascii="Arial" w:hAnsi="Arial"/>
          <w:b w:val="0"/>
          <w:i w:val="0"/>
          <w:sz w:val="28"/>
        </w:rPr>
        <w:t xml:space="preserve">Pese a ello, el Juzgado de Distrito desechó la demanda con el siguiente razonamiento: </w:t>
      </w:r>
      <w:r>
        <w:rPr>
          <w:rFonts w:ascii="Arial" w:hAnsi="Arial"/>
          <w:b/>
          <w:i w:val="0"/>
          <w:sz w:val="28"/>
        </w:rPr>
        <w:t>[TRANSCRIPCIÓN DEL RAZONAMIENTO DEL AUTO RECURRIDO]</w:t>
      </w:r>
      <w:r>
        <w:rPr>
          <w:rFonts w:ascii="Arial" w:hAnsi="Arial"/>
          <w:b w:val="0"/>
          <w:i w:val="0"/>
          <w:sz w:val="28"/>
        </w:rPr>
        <w:t>. Su idea central es que, al mediar un contrato entre la persona usuaria y la institución, los actos reclamados derivan necesariamente de esa relación privada y, por consiguiente, la improcedencia resulta manifiesta e indudable desde el auto inicial. Esa conclusión no se sostiene ni jurídica ni lógicamente.</w:t>
      </w:r>
    </w:p>
    <w:p>
      <w:pPr>
        <w:spacing w:line="360" w:lineRule="auto"/>
        <w:jc w:val="both"/>
      </w:pPr>
      <w:r>
        <w:rPr>
          <w:rFonts w:ascii="Arial" w:hAnsi="Arial"/>
          <w:b w:val="0"/>
          <w:i w:val="0"/>
          <w:sz w:val="28"/>
        </w:rPr>
        <w:t>La subsunción es directa. La norma exige que la improcedencia se desprenda con absoluta claridad de la demanda, sus aclaraciones o los documentos exhibidos, al grado de que ni siguiendo todo el procedimiento pudiera llegarse a otra conclusión; en el caso, ninguna constancia acredita de manera fehaciente que los actos deriven exclusivamente del contrato, porque no obra el contrato completo, ni el informe justificado, ni explicación alguna de la institución sobre el origen de la restricción. Luego, la causa no era manifiesta ni indudable y el desechamiento resultó prematuro.</w:t>
      </w:r>
    </w:p>
    <w:p>
      <w:pPr>
        <w:spacing w:line="360" w:lineRule="auto"/>
        <w:jc w:val="both"/>
      </w:pPr>
      <w:r>
        <w:rPr>
          <w:rFonts w:ascii="Arial" w:hAnsi="Arial"/>
          <w:b w:val="0"/>
          <w:i w:val="0"/>
          <w:sz w:val="28"/>
        </w:rPr>
        <w:t>El razonamiento del auto recurrido incurre, además, en una petición de principio. Esta falacia consiste en postular o sentar aquello mismo que es preciso demostrar, de modo que la conclusión se apoya en sí misma y nada prueba, cuando en todo raciocinio lo que sirve de fundamento debe ser más claro y conocido que lo que se quiere probar.</w:t>
      </w:r>
      <w:r>
        <w:rPr>
          <w:rFonts w:ascii="Arial" w:hAnsi="Arial"/>
          <w:vertAlign w:val="superscript"/>
        </w:rPr>
        <w:t>5</w:t>
      </w:r>
      <w:r>
        <w:rPr>
          <w:rFonts w:ascii="Arial" w:hAnsi="Arial"/>
          <w:b w:val="0"/>
          <w:i w:val="0"/>
          <w:sz w:val="28"/>
        </w:rPr>
        <w:t xml:space="preserve"> El auto da por cierto que la institución actuó como particular en cumplimiento del contrato, que es justamente el punto controvertido, y de esa premisa no probada extrae la improcedencia manifiesta.</w:t>
      </w:r>
    </w:p>
    <w:p>
      <w:pPr>
        <w:spacing w:line="360" w:lineRule="auto"/>
        <w:jc w:val="both"/>
      </w:pPr>
      <w:r>
        <w:rPr>
          <w:rFonts w:ascii="Arial" w:hAnsi="Arial"/>
          <w:b w:val="0"/>
          <w:i w:val="0"/>
          <w:sz w:val="28"/>
        </w:rPr>
        <w:t>A ese vicio se suma una generalización precipitada, sofisma que surge cuando se generaliza a partir de casos insuficientes o poco representativos.</w:t>
      </w:r>
      <w:r>
        <w:rPr>
          <w:rFonts w:ascii="Arial" w:hAnsi="Arial"/>
          <w:vertAlign w:val="superscript"/>
        </w:rPr>
        <w:t>6</w:t>
      </w:r>
      <w:r>
        <w:rPr>
          <w:rFonts w:ascii="Arial" w:hAnsi="Arial"/>
          <w:b w:val="0"/>
          <w:i w:val="0"/>
          <w:sz w:val="28"/>
        </w:rPr>
        <w:t xml:space="preserve"> Del solo dato de que existe un contrato marco de servicios de fondos de pago electrónico, el Juzgado concluyó que todos los actos reclamados derivan exclusivamente de él, sin considerar que la misma institución puede bloquear una cuenta en cumplimiento de obligaciones legales de la regulación financiera tecnológica o en auxilio de una autoridad diversa, hipótesis en las que su actuación deja de ser meramente contractual.</w:t>
      </w:r>
    </w:p>
    <w:p>
      <w:pPr>
        <w:spacing w:line="360" w:lineRule="auto"/>
        <w:jc w:val="both"/>
      </w:pPr>
      <w:r>
        <w:rPr>
          <w:rFonts w:ascii="Arial" w:hAnsi="Arial"/>
          <w:b w:val="0"/>
          <w:i w:val="0"/>
          <w:sz w:val="28"/>
        </w:rPr>
        <w:t>El razonamiento correcto era otro y está al alcance del Tribunal Colegiado. Ante una demanda que atribuye a una Institución de Fondos de Pago Electrónico el bloqueo de fondos, el juzgador debe preguntarse si de las constancias iniciales se acredita de manera fehaciente que la restricción proviene sólo del contrato; si la respuesta es negativa, o si simplemente no hay elementos para responderla, la consecuencia legal es admitir la demanda, pedir el informe justificado y resolver el punto en la sentencia, donde la parte señalada como responsable podrá exponer y probar su versión.</w:t>
      </w:r>
    </w:p>
    <w:p>
      <w:pPr>
        <w:spacing w:line="360" w:lineRule="auto"/>
        <w:jc w:val="both"/>
      </w:pPr>
      <w:r>
        <w:rPr>
          <w:rFonts w:ascii="Arial" w:hAnsi="Arial"/>
          <w:b w:val="0"/>
          <w:i w:val="0"/>
          <w:sz w:val="28"/>
        </w:rPr>
        <w:t>Conviene anticipar la objeción previsible. No se sostiene aquí que toda Institución de Fondos de Pago Electrónico sea autoridad para efectos del amparo, ni que el juicio deba admitirse siempre: la propia jurisprudencia reconoce que, cuando de la demanda o de sus anexos se acredite de manera fehaciente que los actos derivan exclusivamente del contrato, la improcedencia sí será manifiesta e indudable. Lo que se afirma es que en este expediente esa acreditación fehaciente no existe, y que el Juzgado la sustituyó por una presunción.</w:t>
      </w:r>
    </w:p>
    <w:p>
      <w:pPr>
        <w:spacing w:line="360" w:lineRule="auto"/>
        <w:jc w:val="both"/>
      </w:pPr>
      <w:r>
        <w:rPr>
          <w:rFonts w:ascii="Arial" w:hAnsi="Arial"/>
          <w:b w:val="0"/>
          <w:i w:val="0"/>
          <w:sz w:val="28"/>
        </w:rPr>
        <w:t>La consecuencia sistémica de convalidar el auto revela su error. Si bastara invocar la existencia de un contrato para cerrar el juicio en el primer acuerdo, quedaría fuera del control constitucional toda restricción de fondos ordenada a través de instituciones financieras tecnológicas, por más que se ejerza de forma unilateral, imperativa y coercitiva, y la persona usuaria vería su patrimonio inmovilizado sin acto de autoridad que combatir ni particular a quien reclamar en la vía idónea. Ese resultado vacía la protección horizontal que el artículo 5o., fracción II, de la Ley de Amparo quiso instaurar.</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el artículo 113 de la Ley de Amparo sólo permite desechar de plano ante una causa manifiesta e indudable de improcedencia; decidir si el bloqueo, congelamiento, restricción o manejo de fondos realizado por una Institución de Fondos de Pago Electrónico equivale a un acto de autoridad exige, por regla general, un estudio profundo que sólo cabe una vez integrada la litis constitucional; en este expediente no existe constancia que acredite de manera fehaciente el origen exclusivamente contractual de los actos reclamados; luego, el desechamiento fue prematuro e ilegal.</w:t>
      </w:r>
    </w:p>
    <w:p>
      <w:pPr>
        <w:spacing w:line="360" w:lineRule="auto"/>
        <w:jc w:val="both"/>
      </w:pPr>
      <w:r>
        <w:rPr>
          <w:rFonts w:ascii="Arial" w:hAnsi="Arial"/>
          <w:b w:val="0"/>
          <w:i w:val="0"/>
          <w:sz w:val="28"/>
        </w:rPr>
        <w:t xml:space="preserve">Por lo expuesto, con fundamento en los artículos 97, fracción I, inciso a), 100 y 103 de la Ley de Amparo, procede declarar fundado el presente agravio, dejar sin efecto el auto de </w:t>
      </w:r>
      <w:r>
        <w:rPr>
          <w:rFonts w:ascii="Arial" w:hAnsi="Arial"/>
          <w:b/>
          <w:i w:val="0"/>
          <w:sz w:val="28"/>
        </w:rPr>
        <w:t>[FECHA DEL AUTO RECURRIDO]</w:t>
      </w:r>
      <w:r>
        <w:rPr>
          <w:rFonts w:ascii="Arial" w:hAnsi="Arial"/>
          <w:b w:val="0"/>
          <w:i w:val="0"/>
          <w:sz w:val="28"/>
        </w:rPr>
        <w:t xml:space="preserve"> dictado por el </w:t>
      </w:r>
      <w:r>
        <w:rPr>
          <w:rFonts w:ascii="Arial" w:hAnsi="Arial"/>
          <w:b/>
          <w:i w:val="0"/>
          <w:sz w:val="28"/>
        </w:rPr>
        <w:t>[JUZGADO DE DISTRITO RESPONSABLE]</w:t>
      </w:r>
      <w:r>
        <w:rPr>
          <w:rFonts w:ascii="Arial" w:hAnsi="Arial"/>
          <w:b w:val="0"/>
          <w:i w:val="0"/>
          <w:sz w:val="28"/>
        </w:rPr>
        <w:t xml:space="preserve"> en el expediente </w:t>
      </w:r>
      <w:r>
        <w:rPr>
          <w:rFonts w:ascii="Arial" w:hAnsi="Arial"/>
          <w:b/>
          <w:i w:val="0"/>
          <w:sz w:val="28"/>
        </w:rPr>
        <w:t>[NÚMERO DE EXPEDIENTE DEL JUICIO DE AMPARO]</w:t>
      </w:r>
      <w:r>
        <w:rPr>
          <w:rFonts w:ascii="Arial" w:hAnsi="Arial"/>
          <w:b w:val="0"/>
          <w:i w:val="0"/>
          <w:sz w:val="28"/>
        </w:rPr>
        <w:t xml:space="preserve"> y ordenar que se dicte otro en el que se admita la demanda de amparo indirecto, se pida informe justificado a la institución señalada como responsable y se provea lo conducente sobre la suspensión solicitada.</w:t>
      </w:r>
    </w:p>
    <w:p>
      <w:pPr>
        <w:spacing w:line="360" w:lineRule="auto"/>
        <w:jc w:val="both"/>
      </w:pPr>
      <w:r>
        <w:rPr>
          <w:rFonts w:ascii="Arial" w:hAnsi="Arial"/>
          <w:b w:val="0"/>
          <w:i w:val="0"/>
          <w:sz w:val="28"/>
        </w:rPr>
        <w:t xml:space="preserve">Se solicita, por último, que al resolver este recurso se precise que el examen de la calidad con que actuó </w:t>
      </w:r>
      <w:r>
        <w:rPr>
          <w:rFonts w:ascii="Arial" w:hAnsi="Arial"/>
          <w:b/>
          <w:i w:val="0"/>
          <w:sz w:val="28"/>
        </w:rPr>
        <w:t>[DENOMINACIÓN DE LA INSTITUCIÓN DE FONDOS DE PAGO ELECTRÓNICO]</w:t>
      </w:r>
      <w:r>
        <w:rPr>
          <w:rFonts w:ascii="Arial" w:hAnsi="Arial"/>
          <w:b w:val="0"/>
          <w:i w:val="0"/>
          <w:sz w:val="28"/>
        </w:rPr>
        <w:t xml:space="preserve"> queda reservado al momento procesal oportuno, a fin de que el Juzgado de Distrito no reitere el desechamiento por la misma razón y la persona quejosa obtenga, al fin, un pronunciamiento de fondo acerca de la restricción que hoy pesa sobre sus recursos.</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CARRANCO ZÚÑIGA, Joel, </w:t>
      </w:r>
      <w:r>
        <w:rPr>
          <w:rFonts w:ascii="Arial" w:hAnsi="Arial"/>
          <w:i/>
          <w:sz w:val="20"/>
        </w:rPr>
        <w:t>Juicio de amparo. Procedencia y sobreseimiento</w:t>
      </w:r>
      <w:r>
        <w:rPr>
          <w:rFonts w:ascii="Arial" w:hAnsi="Arial"/>
          <w:i w:val="0"/>
          <w:sz w:val="20"/>
        </w:rPr>
        <w:t>, 6ª ed., Porrúa, México, 2020, pp. 264-265.</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 p. 336.</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 Tomo I</w:t>
      </w:r>
      <w:r>
        <w:rPr>
          <w:rFonts w:ascii="Arial" w:hAnsi="Arial"/>
          <w:i w:val="0"/>
          <w:sz w:val="20"/>
        </w:rPr>
        <w:t>, 3ª ed., Universidad Nacional Autónoma de México, Instituto de Investigaciones Jurídicas; Instituto de Estudios Constitucionales del Estado de Querétaro, México, 2021, p. 99.</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CARRANCO ZÚÑIGA, Joel, </w:t>
      </w:r>
      <w:r>
        <w:rPr>
          <w:rFonts w:ascii="Arial" w:hAnsi="Arial"/>
          <w:i/>
          <w:sz w:val="20"/>
        </w:rPr>
        <w:t>Juicio de amparo. Procedencia y sobreseimiento</w:t>
      </w:r>
      <w:r>
        <w:rPr>
          <w:rFonts w:ascii="Arial" w:hAnsi="Arial"/>
          <w:i w:val="0"/>
          <w:sz w:val="20"/>
        </w:rPr>
        <w:t>, 6ª ed., Porrúa, México, 2020, pp. 224-225.</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73.</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42.</w:t>
      </w:r>
    </w:p>
    <w:p/>
    <w:p>
      <w:r>
        <w:rPr>
          <w:rFonts w:ascii="Arial" w:hAnsi="Arial"/>
          <w:b/>
          <w:sz w:val="22"/>
        </w:rPr>
        <w:t>BIBLIOGRAFÍA</w:t>
      </w:r>
    </w:p>
    <w:p>
      <w:pPr>
        <w:spacing w:after="60"/>
        <w:ind w:left="360" w:hanging="360"/>
        <w:jc w:val="both"/>
      </w:pPr>
      <w:r>
        <w:rPr>
          <w:rFonts w:ascii="Arial" w:hAnsi="Arial"/>
          <w:i w:val="0"/>
          <w:sz w:val="20"/>
        </w:rPr>
        <w:t xml:space="preserve">CARRANCO ZÚÑIGA, Joel, </w:t>
      </w:r>
      <w:r>
        <w:rPr>
          <w:rFonts w:ascii="Arial" w:hAnsi="Arial"/>
          <w:i/>
          <w:sz w:val="20"/>
        </w:rPr>
        <w:t>Juicio de amparo. Procedencia y sobreseimiento</w:t>
      </w:r>
      <w:r>
        <w:rPr>
          <w:rFonts w:ascii="Arial" w:hAnsi="Arial"/>
          <w:i w:val="0"/>
          <w:sz w:val="20"/>
        </w:rPr>
        <w:t>, 6ª ed., Porrúa, México, 2020.</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 Tomo I</w:t>
      </w:r>
      <w:r>
        <w:rPr>
          <w:rFonts w:ascii="Arial" w:hAnsi="Arial"/>
          <w:i w:val="0"/>
          <w:sz w:val="20"/>
        </w:rPr>
        <w:t>, 3ª ed., Universidad Nacional Autónoma de México, Instituto de Investigaciones Jurídicas; Instituto de Estudios Constitucionales del Estado de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