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RECURSO DE QUEJA. SUSPENSIÓN PROVISIONAL CONTRA LA MULTA IMPUESTA COMO MEDIDA DE APREMIO EN JUICIO LABORAL</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agravio a tu recurso de queja. Primero localiza en el auto recurrido la consideración exacta con la que el juzgado de distrito negó la suspensión provisional y transcríbela en el campo correspondiente: el agravio debe morder esa consideración concreta, no repetir la demanda.</w:t>
      </w:r>
    </w:p>
    <w:p>
      <w:pPr>
        <w:spacing w:line="360" w:lineRule="auto"/>
        <w:jc w:val="both"/>
      </w:pPr>
      <w:r>
        <w:rPr>
          <w:rFonts w:ascii="Arial" w:hAnsi="Arial"/>
          <w:b w:val="0"/>
          <w:i w:val="0"/>
          <w:sz w:val="24"/>
        </w:rPr>
        <w:t>Después llena los demás campos con los datos de tu expediente, conserva o elimina el párrafo opcional sobre la subsistencia de la parte trabajadora según lo que haya dicho el auto, y verifica que el juzgado y el tribunal colegiado pertenezcan a la región Centro-Sur para afirmar la obligatoriedad del criterio; si no, ajusta la redacción para invocarlo como orientador. Interpón la queja ante el propio juzgado de distrito dentro del plazo que fija el artículo 98, fracción I, de la Ley de Amparo para la suspensión provisional, contado desde que surta efectos la notificación del auto.</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AGRAVIO]</w:t>
      </w:r>
      <w:r>
        <w:rPr>
          <w:rFonts w:ascii="Arial" w:hAnsi="Arial"/>
          <w:b w:val="0"/>
          <w:i w:val="0"/>
          <w:sz w:val="24"/>
        </w:rPr>
        <w:t>: el ordinal que le corresponda en tu escrito (PRIMERO, SEGUNDO…).</w:t>
      </w:r>
    </w:p>
    <w:p>
      <w:pPr>
        <w:spacing w:line="360" w:lineRule="auto"/>
        <w:jc w:val="both"/>
      </w:pPr>
      <w:r>
        <w:rPr>
          <w:rFonts w:ascii="Arial" w:hAnsi="Arial"/>
          <w:b/>
          <w:i w:val="0"/>
          <w:sz w:val="24"/>
        </w:rPr>
        <w:t>[FECHA DEL AUTO RECURRIDO]</w:t>
      </w:r>
      <w:r>
        <w:rPr>
          <w:rFonts w:ascii="Arial" w:hAnsi="Arial"/>
          <w:b w:val="0"/>
          <w:i w:val="0"/>
          <w:sz w:val="24"/>
        </w:rPr>
        <w:t>: fecha del auto que negó la suspensión provisional.</w:t>
      </w:r>
    </w:p>
    <w:p>
      <w:pPr>
        <w:spacing w:line="360" w:lineRule="auto"/>
        <w:jc w:val="both"/>
      </w:pPr>
      <w:r>
        <w:rPr>
          <w:rFonts w:ascii="Arial" w:hAnsi="Arial"/>
          <w:b/>
          <w:i w:val="0"/>
          <w:sz w:val="24"/>
        </w:rPr>
        <w:t>[FECHA DE NOTIFICACIÓN DEL AUTO RECURRIDO]</w:t>
      </w:r>
      <w:r>
        <w:rPr>
          <w:rFonts w:ascii="Arial" w:hAnsi="Arial"/>
          <w:b w:val="0"/>
          <w:i w:val="0"/>
          <w:sz w:val="24"/>
        </w:rPr>
        <w:t>: fecha en que se te notificó ese auto; sirve para acreditar la oportunidad de la queja.</w:t>
      </w:r>
    </w:p>
    <w:p>
      <w:pPr>
        <w:spacing w:line="360" w:lineRule="auto"/>
        <w:jc w:val="both"/>
      </w:pPr>
      <w:r>
        <w:rPr>
          <w:rFonts w:ascii="Arial" w:hAnsi="Arial"/>
          <w:b/>
          <w:i w:val="0"/>
          <w:sz w:val="24"/>
        </w:rPr>
        <w:t>[JUZGADO DE DISTRITO]</w:t>
      </w:r>
      <w:r>
        <w:rPr>
          <w:rFonts w:ascii="Arial" w:hAnsi="Arial"/>
          <w:b w:val="0"/>
          <w:i w:val="0"/>
          <w:sz w:val="24"/>
        </w:rPr>
        <w:t>: denominación completa del juzgado que conoce del amparo.</w:t>
      </w:r>
    </w:p>
    <w:p>
      <w:pPr>
        <w:spacing w:line="360" w:lineRule="auto"/>
        <w:jc w:val="both"/>
      </w:pPr>
      <w:r>
        <w:rPr>
          <w:rFonts w:ascii="Arial" w:hAnsi="Arial"/>
          <w:b/>
          <w:i w:val="0"/>
          <w:sz w:val="24"/>
        </w:rPr>
        <w:t>[NÚMERO DE EXPEDIENTE DEL JUICIO DE AMPARO]</w:t>
      </w:r>
      <w:r>
        <w:rPr>
          <w:rFonts w:ascii="Arial" w:hAnsi="Arial"/>
          <w:b w:val="0"/>
          <w:i w:val="0"/>
          <w:sz w:val="24"/>
        </w:rPr>
        <w:t>: número del juicio de amparo indirecto y de su incidente de suspensión.</w:t>
      </w:r>
    </w:p>
    <w:p>
      <w:pPr>
        <w:spacing w:line="360" w:lineRule="auto"/>
        <w:jc w:val="both"/>
      </w:pPr>
      <w:r>
        <w:rPr>
          <w:rFonts w:ascii="Arial" w:hAnsi="Arial"/>
          <w:b/>
          <w:i w:val="0"/>
          <w:sz w:val="24"/>
        </w:rPr>
        <w:t>[NOMBRE DE LA PERSONA QUEJOSA]</w:t>
      </w:r>
      <w:r>
        <w:rPr>
          <w:rFonts w:ascii="Arial" w:hAnsi="Arial"/>
          <w:b w:val="0"/>
          <w:i w:val="0"/>
          <w:sz w:val="24"/>
        </w:rPr>
        <w:t>: la parte del juicio laboral a la que se impuso la multa.</w:t>
      </w:r>
    </w:p>
    <w:p>
      <w:pPr>
        <w:spacing w:line="360" w:lineRule="auto"/>
        <w:jc w:val="both"/>
      </w:pPr>
      <w:r>
        <w:rPr>
          <w:rFonts w:ascii="Arial" w:hAnsi="Arial"/>
          <w:b/>
          <w:i w:val="0"/>
          <w:sz w:val="24"/>
        </w:rPr>
        <w:t>[TRIBUNAL LABORAL RESPONSABLE]</w:t>
      </w:r>
      <w:r>
        <w:rPr>
          <w:rFonts w:ascii="Arial" w:hAnsi="Arial"/>
          <w:b w:val="0"/>
          <w:i w:val="0"/>
          <w:sz w:val="24"/>
        </w:rPr>
        <w:t>: el tribunal laboral o junta que impuso la multa, con su denominación completa.</w:t>
      </w:r>
    </w:p>
    <w:p>
      <w:pPr>
        <w:spacing w:line="360" w:lineRule="auto"/>
        <w:jc w:val="both"/>
      </w:pPr>
      <w:r>
        <w:rPr>
          <w:rFonts w:ascii="Arial" w:hAnsi="Arial"/>
          <w:b/>
          <w:i w:val="0"/>
          <w:sz w:val="24"/>
        </w:rPr>
        <w:t>[NÚMERO DE EXPEDIENTE LABORAL]</w:t>
      </w:r>
      <w:r>
        <w:rPr>
          <w:rFonts w:ascii="Arial" w:hAnsi="Arial"/>
          <w:b w:val="0"/>
          <w:i w:val="0"/>
          <w:sz w:val="24"/>
        </w:rPr>
        <w:t>: número del juicio laboral de origen.</w:t>
      </w:r>
    </w:p>
    <w:p>
      <w:pPr>
        <w:spacing w:line="360" w:lineRule="auto"/>
        <w:jc w:val="both"/>
      </w:pPr>
      <w:r>
        <w:rPr>
          <w:rFonts w:ascii="Arial" w:hAnsi="Arial"/>
          <w:b/>
          <w:i w:val="0"/>
          <w:sz w:val="24"/>
        </w:rPr>
        <w:t>[MONTO DE LA MULTA]</w:t>
      </w:r>
      <w:r>
        <w:rPr>
          <w:rFonts w:ascii="Arial" w:hAnsi="Arial"/>
          <w:b w:val="0"/>
          <w:i w:val="0"/>
          <w:sz w:val="24"/>
        </w:rPr>
        <w:t>: cantidad de la multa, con número y letra.</w:t>
      </w:r>
    </w:p>
    <w:p>
      <w:pPr>
        <w:spacing w:line="360" w:lineRule="auto"/>
        <w:jc w:val="both"/>
      </w:pPr>
      <w:r>
        <w:rPr>
          <w:rFonts w:ascii="Arial" w:hAnsi="Arial"/>
          <w:b/>
          <w:i w:val="0"/>
          <w:sz w:val="24"/>
        </w:rPr>
        <w:t>[FECHA DEL ACUERDO QUE IMPUSO LA MULTA]</w:t>
      </w:r>
      <w:r>
        <w:rPr>
          <w:rFonts w:ascii="Arial" w:hAnsi="Arial"/>
          <w:b w:val="0"/>
          <w:i w:val="0"/>
          <w:sz w:val="24"/>
        </w:rPr>
        <w:t>: fecha de la actuación laboral que la impuso.</w:t>
      </w:r>
    </w:p>
    <w:p>
      <w:pPr>
        <w:spacing w:line="360" w:lineRule="auto"/>
        <w:jc w:val="both"/>
      </w:pPr>
      <w:r>
        <w:rPr>
          <w:rFonts w:ascii="Arial" w:hAnsi="Arial"/>
          <w:b/>
          <w:i w:val="0"/>
          <w:sz w:val="24"/>
        </w:rPr>
        <w:t>[ACTUACIÓN PROCESAL CUYO INCUMPLIMIENTO MOTIVÓ LA MULTA]</w:t>
      </w:r>
      <w:r>
        <w:rPr>
          <w:rFonts w:ascii="Arial" w:hAnsi="Arial"/>
          <w:b w:val="0"/>
          <w:i w:val="0"/>
          <w:sz w:val="24"/>
        </w:rPr>
        <w:t>: la orden que supuestamente se incumplió (exhibir documentos, presentar testigos, comparecer).</w:t>
      </w:r>
    </w:p>
    <w:p>
      <w:pPr>
        <w:spacing w:line="360" w:lineRule="auto"/>
        <w:jc w:val="both"/>
      </w:pPr>
      <w:r>
        <w:rPr>
          <w:rFonts w:ascii="Arial" w:hAnsi="Arial"/>
          <w:b/>
          <w:i w:val="0"/>
          <w:sz w:val="24"/>
        </w:rPr>
        <w:t>[TRANSCRIPCIÓN O SÍNTESIS DE LA CONSIDERACIÓN COMBATIDA]</w:t>
      </w:r>
      <w:r>
        <w:rPr>
          <w:rFonts w:ascii="Arial" w:hAnsi="Arial"/>
          <w:b w:val="0"/>
          <w:i w:val="0"/>
          <w:sz w:val="24"/>
        </w:rPr>
        <w:t>: el razonamiento textual con que el juzgado negó la suspensión.</w:t>
      </w:r>
    </w:p>
    <w:p>
      <w:pPr>
        <w:spacing w:line="360" w:lineRule="auto"/>
        <w:jc w:val="both"/>
      </w:pPr>
      <w:r>
        <w:rPr>
          <w:rFonts w:ascii="Arial" w:hAnsi="Arial"/>
          <w:b/>
          <w:i w:val="0"/>
          <w:sz w:val="24"/>
        </w:rPr>
        <w:t>[SÍNTESIS DEL VICIO ATRIBUIDO A LA MULTA EN LA DEMANDA DE AMPARO]</w:t>
      </w:r>
      <w:r>
        <w:rPr>
          <w:rFonts w:ascii="Arial" w:hAnsi="Arial"/>
          <w:b w:val="0"/>
          <w:i w:val="0"/>
          <w:sz w:val="24"/>
        </w:rPr>
        <w:t>: en una o dos líneas, por qué la multa es ilegal según tu demanda (falta de apercibimiento previo, monto excesivo, orden imposible de cumplir, etcétera).</w:t>
      </w:r>
    </w:p>
    <w:p>
      <w:pPr>
        <w:spacing w:line="360" w:lineRule="auto"/>
        <w:jc w:val="both"/>
      </w:pPr>
      <w:r>
        <w:rPr>
          <w:rFonts w:ascii="Arial" w:hAnsi="Arial"/>
          <w:b/>
          <w:i w:val="0"/>
          <w:sz w:val="24"/>
        </w:rPr>
        <w:t>[EN SU CASO, SI EL AUTO INVOCÓ LA SUBSISTENCIA DE LA PARTE TRABAJADORA]</w:t>
      </w:r>
      <w:r>
        <w:rPr>
          <w:rFonts w:ascii="Arial" w:hAnsi="Arial"/>
          <w:b w:val="0"/>
          <w:i w:val="0"/>
          <w:sz w:val="24"/>
        </w:rPr>
        <w:t>: sustituye este marcador por la frase introductoria del párrafo si el auto usó ese argumento; si no lo usó, elimina el párrafo completo.</w:t>
      </w:r>
    </w:p>
    <w:p>
      <w:pPr>
        <w:spacing w:line="360" w:lineRule="auto"/>
        <w:jc w:val="both"/>
      </w:pPr>
      <w:r>
        <w:rPr>
          <w:rFonts w:ascii="Arial" w:hAnsi="Arial"/>
          <w:b/>
          <w:i w:val="0"/>
          <w:sz w:val="24"/>
        </w:rPr>
        <w:t>[TRIBUNAL COLEGIADO]</w:t>
      </w:r>
      <w:r>
        <w:rPr>
          <w:rFonts w:ascii="Arial" w:hAnsi="Arial"/>
          <w:b w:val="0"/>
          <w:i w:val="0"/>
          <w:sz w:val="24"/>
        </w:rPr>
        <w:t>: denominación del tribunal colegiado de circuito que resolverá la queja.</w:t>
      </w:r>
    </w:p>
    <w:p/>
    <w:p>
      <w:pPr>
        <w:spacing w:line="360" w:lineRule="auto"/>
        <w:jc w:val="both"/>
      </w:pPr>
      <w:r>
        <w:rPr>
          <w:rFonts w:ascii="Arial" w:hAnsi="Arial"/>
          <w:b/>
          <w:sz w:val="28"/>
        </w:rPr>
        <w:t>[NÚMERO ORDINAL DEL AGRAVIO] AGRAVIO. Indebida negativa de la suspensión provisional respecto de la multa impuesta como medida de apremio en el procedimiento laboral de origen. El auto recurrido confunde la paralización del procedimiento con la simple detención de la ejecución de la multa y, por ello, aplica de manera inexacta los artículos 128, 139, 147 y 150 de la Ley de Amparo, en contra de la jurisprudencia PR.P.T.CS. J/24 L (12a.) del Pleno Regional en Materias Penal y de Trabajo de la Región Centro-Sur.</w:t>
      </w:r>
    </w:p>
    <w:p>
      <w:pPr>
        <w:spacing w:line="360" w:lineRule="auto"/>
        <w:jc w:val="both"/>
      </w:pPr>
      <w:r>
        <w:rPr>
          <w:rFonts w:ascii="Arial" w:hAnsi="Arial"/>
          <w:b/>
          <w:sz w:val="28"/>
        </w:rPr>
        <w:t>I. Síntesis del agravio.</w:t>
      </w:r>
    </w:p>
    <w:p>
      <w:pPr>
        <w:spacing w:line="360" w:lineRule="auto"/>
        <w:jc w:val="both"/>
      </w:pPr>
      <w:r>
        <w:rPr>
          <w:rFonts w:ascii="Arial" w:hAnsi="Arial"/>
          <w:b w:val="0"/>
          <w:i w:val="0"/>
          <w:sz w:val="28"/>
        </w:rPr>
        <w:t xml:space="preserve">En este apartado se demostrará que el auto de </w:t>
      </w:r>
      <w:r>
        <w:rPr>
          <w:rFonts w:ascii="Arial" w:hAnsi="Arial"/>
          <w:b/>
          <w:i w:val="0"/>
          <w:sz w:val="28"/>
        </w:rPr>
        <w:t>[FECHA DEL AUTO RECURRIDO]</w:t>
      </w:r>
      <w:r>
        <w:rPr>
          <w:rFonts w:ascii="Arial" w:hAnsi="Arial"/>
          <w:b w:val="0"/>
          <w:i w:val="0"/>
          <w:sz w:val="28"/>
        </w:rPr>
        <w:t xml:space="preserve">, dictado por el </w:t>
      </w:r>
      <w:r>
        <w:rPr>
          <w:rFonts w:ascii="Arial" w:hAnsi="Arial"/>
          <w:b/>
          <w:i w:val="0"/>
          <w:sz w:val="28"/>
        </w:rPr>
        <w:t>[JUZGADO DE DISTRITO]</w:t>
      </w:r>
      <w:r>
        <w:rPr>
          <w:rFonts w:ascii="Arial" w:hAnsi="Arial"/>
          <w:b w:val="0"/>
          <w:i w:val="0"/>
          <w:sz w:val="28"/>
        </w:rPr>
        <w:t xml:space="preserve"> en el incidente de suspensión relativo al juicio de amparo indirecto </w:t>
      </w:r>
      <w:r>
        <w:rPr>
          <w:rFonts w:ascii="Arial" w:hAnsi="Arial"/>
          <w:b/>
          <w:i w:val="0"/>
          <w:sz w:val="28"/>
        </w:rPr>
        <w:t>[NÚMERO DE EXPEDIENTE DEL JUICIO DE AMPARO]</w:t>
      </w:r>
      <w:r>
        <w:rPr>
          <w:rFonts w:ascii="Arial" w:hAnsi="Arial"/>
          <w:b w:val="0"/>
          <w:i w:val="0"/>
          <w:sz w:val="28"/>
        </w:rPr>
        <w:t xml:space="preserve">, negó indebidamente a </w:t>
      </w:r>
      <w:r>
        <w:rPr>
          <w:rFonts w:ascii="Arial" w:hAnsi="Arial"/>
          <w:b/>
          <w:i w:val="0"/>
          <w:sz w:val="28"/>
        </w:rPr>
        <w:t>[NOMBRE DE LA PERSONA QUEJOSA]</w:t>
      </w:r>
      <w:r>
        <w:rPr>
          <w:rFonts w:ascii="Arial" w:hAnsi="Arial"/>
          <w:b w:val="0"/>
          <w:i w:val="0"/>
          <w:sz w:val="28"/>
        </w:rPr>
        <w:t xml:space="preserve"> la suspensión provisional contra la multa que, como medida de apremio, le impuso el </w:t>
      </w:r>
      <w:r>
        <w:rPr>
          <w:rFonts w:ascii="Arial" w:hAnsi="Arial"/>
          <w:b/>
          <w:i w:val="0"/>
          <w:sz w:val="28"/>
        </w:rPr>
        <w:t>[TRIBUNAL LABORAL RESPONSABLE]</w:t>
      </w:r>
      <w:r>
        <w:rPr>
          <w:rFonts w:ascii="Arial" w:hAnsi="Arial"/>
          <w:b w:val="0"/>
          <w:i w:val="0"/>
          <w:sz w:val="28"/>
        </w:rPr>
        <w:t xml:space="preserve"> dentro del expediente laboral </w:t>
      </w:r>
      <w:r>
        <w:rPr>
          <w:rFonts w:ascii="Arial" w:hAnsi="Arial"/>
          <w:b/>
          <w:i w:val="0"/>
          <w:sz w:val="28"/>
        </w:rPr>
        <w:t>[NÚMERO DE EXPEDIENTE LABORAL]</w:t>
      </w:r>
      <w:r>
        <w:rPr>
          <w:rFonts w:ascii="Arial" w:hAnsi="Arial"/>
          <w:b w:val="0"/>
          <w:i w:val="0"/>
          <w:sz w:val="28"/>
        </w:rPr>
        <w:t xml:space="preserve">, por la cantidad de </w:t>
      </w:r>
      <w:r>
        <w:rPr>
          <w:rFonts w:ascii="Arial" w:hAnsi="Arial"/>
          <w:b/>
          <w:i w:val="0"/>
          <w:sz w:val="28"/>
        </w:rPr>
        <w:t>[MONTO DE LA MULTA]</w:t>
      </w:r>
      <w:r>
        <w:rPr>
          <w:rFonts w:ascii="Arial" w:hAnsi="Arial"/>
          <w:b w:val="0"/>
          <w:i w:val="0"/>
          <w:sz w:val="28"/>
        </w:rPr>
        <w:t>.</w:t>
      </w:r>
    </w:p>
    <w:p>
      <w:pPr>
        <w:spacing w:line="360" w:lineRule="auto"/>
        <w:jc w:val="both"/>
      </w:pPr>
      <w:r>
        <w:rPr>
          <w:rFonts w:ascii="Arial" w:hAnsi="Arial"/>
          <w:b w:val="0"/>
          <w:i w:val="0"/>
          <w:sz w:val="28"/>
        </w:rPr>
        <w:t>La demostración descansa en una distinción elemental que el auto recurrido pasó por alto: una cosa es paralizar el procedimiento laboral, efecto que la Ley de Amparo prohíbe cuando el acto reclamado es de carácter jurisdiccional, y otra muy distinta es detener temporalmente el cobro de una multa concreta. Lo segundo no impide que el tribunal laboral siga actuando, ni le quita los demás medios de apremio con que cuenta para hacer cumplir sus determinaciones.</w:t>
      </w:r>
    </w:p>
    <w:p>
      <w:pPr>
        <w:spacing w:line="360" w:lineRule="auto"/>
        <w:jc w:val="both"/>
      </w:pPr>
      <w:r>
        <w:rPr>
          <w:rFonts w:ascii="Arial" w:hAnsi="Arial"/>
          <w:b w:val="0"/>
          <w:i w:val="0"/>
          <w:sz w:val="28"/>
        </w:rPr>
        <w:t>Si esa distinción se respeta, la conclusión es forzosa: la suspensión provisional debió concederse para el único efecto de que la multa no se ejecute hasta en tanto se resuelva sobre la suspensión definitiva, exactamente como lo ordena la jurisprudencia obligatoria que se invoca más adelante. Al negarla, el auto recurrido aplicó de manera inexacta los artículos 128, 139, 147 y 150 de la Ley de Amparo y debe revocarse.</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resolución recurrida es el auto de </w:t>
      </w:r>
      <w:r>
        <w:rPr>
          <w:rFonts w:ascii="Arial" w:hAnsi="Arial"/>
          <w:b/>
          <w:i w:val="0"/>
          <w:sz w:val="28"/>
        </w:rPr>
        <w:t>[FECHA DEL AUTO RECURRIDO]</w:t>
      </w:r>
      <w:r>
        <w:rPr>
          <w:rFonts w:ascii="Arial" w:hAnsi="Arial"/>
          <w:b w:val="0"/>
          <w:i w:val="0"/>
          <w:sz w:val="28"/>
        </w:rPr>
        <w:t xml:space="preserve">, notificado a la parte recurrente el </w:t>
      </w:r>
      <w:r>
        <w:rPr>
          <w:rFonts w:ascii="Arial" w:hAnsi="Arial"/>
          <w:b/>
          <w:i w:val="0"/>
          <w:sz w:val="28"/>
        </w:rPr>
        <w:t>[FECHA DE NOTIFICACIÓN DEL AUTO RECURRIDO]</w:t>
      </w:r>
      <w:r>
        <w:rPr>
          <w:rFonts w:ascii="Arial" w:hAnsi="Arial"/>
          <w:b w:val="0"/>
          <w:i w:val="0"/>
          <w:sz w:val="28"/>
        </w:rPr>
        <w:t xml:space="preserve">, por el que el </w:t>
      </w:r>
      <w:r>
        <w:rPr>
          <w:rFonts w:ascii="Arial" w:hAnsi="Arial"/>
          <w:b/>
          <w:i w:val="0"/>
          <w:sz w:val="28"/>
        </w:rPr>
        <w:t>[JUZGADO DE DISTRITO]</w:t>
      </w:r>
      <w:r>
        <w:rPr>
          <w:rFonts w:ascii="Arial" w:hAnsi="Arial"/>
          <w:b w:val="0"/>
          <w:i w:val="0"/>
          <w:sz w:val="28"/>
        </w:rPr>
        <w:t xml:space="preserve"> negó la suspensión provisional del acto reclamado, consistente en la multa impuesta como medida de apremio en el acuerdo de </w:t>
      </w:r>
      <w:r>
        <w:rPr>
          <w:rFonts w:ascii="Arial" w:hAnsi="Arial"/>
          <w:b/>
          <w:i w:val="0"/>
          <w:sz w:val="28"/>
        </w:rPr>
        <w:t>[FECHA DEL ACUERDO QUE IMPUSO LA MULTA]</w:t>
      </w:r>
      <w:r>
        <w:rPr>
          <w:rFonts w:ascii="Arial" w:hAnsi="Arial"/>
          <w:b w:val="0"/>
          <w:i w:val="0"/>
          <w:sz w:val="28"/>
        </w:rPr>
        <w:t xml:space="preserve">, dictado por el </w:t>
      </w:r>
      <w:r>
        <w:rPr>
          <w:rFonts w:ascii="Arial" w:hAnsi="Arial"/>
          <w:b/>
          <w:i w:val="0"/>
          <w:sz w:val="28"/>
        </w:rPr>
        <w:t>[TRIBUNAL LABORAL RESPONSABLE]</w:t>
      </w:r>
      <w:r>
        <w:rPr>
          <w:rFonts w:ascii="Arial" w:hAnsi="Arial"/>
          <w:b w:val="0"/>
          <w:i w:val="0"/>
          <w:sz w:val="28"/>
        </w:rPr>
        <w:t xml:space="preserve"> con motivo de </w:t>
      </w:r>
      <w:r>
        <w:rPr>
          <w:rFonts w:ascii="Arial" w:hAnsi="Arial"/>
          <w:b/>
          <w:i w:val="0"/>
          <w:sz w:val="28"/>
        </w:rPr>
        <w:t>[ACTUACIÓN PROCESAL CUYO INCUMPLIMIENTO MOTIVÓ LA MULTA]</w:t>
      </w:r>
      <w:r>
        <w:rPr>
          <w:rFonts w:ascii="Arial" w:hAnsi="Arial"/>
          <w:b w:val="0"/>
          <w:i w:val="0"/>
          <w:sz w:val="28"/>
        </w:rPr>
        <w:t>.</w:t>
      </w:r>
    </w:p>
    <w:p>
      <w:pPr>
        <w:spacing w:line="360" w:lineRule="auto"/>
        <w:jc w:val="both"/>
      </w:pPr>
      <w:r>
        <w:rPr>
          <w:rFonts w:ascii="Arial" w:hAnsi="Arial"/>
          <w:b w:val="0"/>
          <w:i w:val="0"/>
          <w:sz w:val="28"/>
        </w:rPr>
        <w:t>El recurso procede en términos del artículo 97, fracción I, inciso b), de la Ley de Amparo, que admite la queja contra las resoluciones que concedan o nieguen la suspensión de plano o la provisional, y se interpone dentro del plazo que fija el artículo 98, fracción I, del mismo ordenamiento. Conforme al artículo 100, en este escrito se expresan los agravios que causa la resolución recurrida.</w:t>
      </w:r>
    </w:p>
    <w:p>
      <w:pPr>
        <w:spacing w:line="360" w:lineRule="auto"/>
        <w:jc w:val="both"/>
      </w:pPr>
      <w:r>
        <w:rPr>
          <w:rFonts w:ascii="Arial" w:hAnsi="Arial"/>
          <w:b w:val="0"/>
          <w:i w:val="0"/>
          <w:sz w:val="28"/>
        </w:rPr>
        <w:t xml:space="preserve">La consideración que se combate es la siguiente: el </w:t>
      </w:r>
      <w:r>
        <w:rPr>
          <w:rFonts w:ascii="Arial" w:hAnsi="Arial"/>
          <w:b/>
          <w:i w:val="0"/>
          <w:sz w:val="28"/>
        </w:rPr>
        <w:t>[JUZGADO DE DISTRITO]</w:t>
      </w:r>
      <w:r>
        <w:rPr>
          <w:rFonts w:ascii="Arial" w:hAnsi="Arial"/>
          <w:b w:val="0"/>
          <w:i w:val="0"/>
          <w:sz w:val="28"/>
        </w:rPr>
        <w:t xml:space="preserve"> sostuvo, en esencia, que la medida de apremio se dictó dentro de un procedimiento laboral regido por disposiciones de orden público, de manera que suspender su ejecución obstaculizaría el trámite del juicio de origen y seguiría perjuicio al interés social, </w:t>
      </w:r>
      <w:r>
        <w:rPr>
          <w:rFonts w:ascii="Arial" w:hAnsi="Arial"/>
          <w:b/>
          <w:i w:val="0"/>
          <w:sz w:val="28"/>
        </w:rPr>
        <w:t>[TRANSCRIPCIÓN O SÍNTESIS DE LA CONSIDERACIÓN COMBATIDA]</w:t>
      </w:r>
      <w:r>
        <w:rPr>
          <w:rFonts w:ascii="Arial" w:hAnsi="Arial"/>
          <w:b w:val="0"/>
          <w:i w:val="0"/>
          <w:sz w:val="28"/>
        </w:rPr>
        <w:t>. Con base en ello concluyó que no se satisfacía el requisito del artículo 128 de la Ley de Amparo.</w:t>
      </w:r>
    </w:p>
    <w:p>
      <w:pPr>
        <w:spacing w:line="360" w:lineRule="auto"/>
        <w:jc w:val="both"/>
      </w:pPr>
      <w:r>
        <w:rPr>
          <w:rFonts w:ascii="Arial" w:hAnsi="Arial"/>
          <w:b w:val="0"/>
          <w:i w:val="0"/>
          <w:sz w:val="28"/>
        </w:rPr>
        <w:t>Las normas cuya inexacta aplicación se plantea son los artículos 128, 138, 139, 147 y 150 de la Ley de Amparo, en relación con el artículo 107, fracción X, de la Constitución Política de los Estados Unidos Mexicanos, que ordena ponderar la apariencia del buen derecho y el interés social al resolver sobre la suspensión, y el artículo 217, párrafo segundo, de la propia ley, que hace obligatoria la jurisprudencia de los plenos regionales para las autoridades jurisdiccionales de su región.</w:t>
      </w:r>
    </w:p>
    <w:p>
      <w:pPr>
        <w:spacing w:line="360" w:lineRule="auto"/>
        <w:jc w:val="both"/>
      </w:pPr>
      <w:r>
        <w:rPr>
          <w:rFonts w:ascii="Arial" w:hAnsi="Arial"/>
          <w:b w:val="0"/>
          <w:i w:val="0"/>
          <w:sz w:val="28"/>
        </w:rPr>
        <w:t>El perjuicio es concreto e inmediato: negada la suspensión provisional, el artículo 138, fracción I, de la Ley de Amparo deja expedita a la autoridad responsable la facultad de ejecutar el acto reclamado, de modo que la multa puede hacerse efectiva sobre el patrimonio de la persona quejosa antes de que el órgano de amparo decida siquiera sobre la suspensión definitiva, con lo que el incidente y, en buena medida, el juicio quedarían sin materia respecto de ese acto.</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partir de la naturaleza de la institución. La doctrina procesal constitucional explica que la suspensión participa del género de las medidas cautelares y comparte sus notas esenciales, temporalidad, revocabilidad y accesoriedad respecto del proceso principal, y que su finalidad clásica es mantener las cosas en el estado en que se encuentran para preservar la materia del juicio.</w:t>
      </w:r>
      <w:r>
        <w:rPr>
          <w:rFonts w:ascii="Arial" w:hAnsi="Arial"/>
          <w:vertAlign w:val="superscript"/>
        </w:rPr>
        <w:t>1</w:t>
      </w:r>
      <w:r>
        <w:rPr>
          <w:rFonts w:ascii="Arial" w:hAnsi="Arial"/>
          <w:b w:val="0"/>
          <w:i w:val="0"/>
          <w:sz w:val="28"/>
        </w:rPr>
        <w:t xml:space="preserve"> La suspensión no decide el litigio: lo preserva, y por eso toda negativa que deje consumarse el acto mientras el juicio se tramita traiciona su razón de ser.</w:t>
      </w:r>
    </w:p>
    <w:p>
      <w:pPr>
        <w:spacing w:line="360" w:lineRule="auto"/>
        <w:jc w:val="both"/>
      </w:pPr>
      <w:r>
        <w:rPr>
          <w:rFonts w:ascii="Arial" w:hAnsi="Arial"/>
          <w:b w:val="0"/>
          <w:i w:val="0"/>
          <w:sz w:val="28"/>
        </w:rPr>
        <w:t>En esa misma línea, el auto que resuelve sobre la suspensión provisional es la primera oportunidad que tiene el juzgador de conservar la materia del proceso y de evitar que la ejecución del acto reclamado cause daños de difícil reparación mientras se dicta sentencia, precisamente por el peligro en la demora que supone la duración del juicio, como lo reflejan los artículos 139 y 147 de la Ley de Amparo. Toda negativa de la medida debe medirse, por tanto, contra ese fin protector.</w:t>
      </w:r>
    </w:p>
    <w:p>
      <w:pPr>
        <w:spacing w:line="360" w:lineRule="auto"/>
        <w:jc w:val="both"/>
      </w:pPr>
      <w:r>
        <w:rPr>
          <w:rFonts w:ascii="Arial" w:hAnsi="Arial"/>
          <w:b w:val="0"/>
          <w:i w:val="0"/>
          <w:sz w:val="28"/>
        </w:rPr>
        <w:t xml:space="preserve">El texto vigente del artículo 128 de la Ley de Amparo recoge esa concepción. Dispone que el órgano jurisdiccional, cuando la naturaleza del acto lo permita, </w:t>
      </w:r>
      <w:r>
        <w:rPr>
          <w:rFonts w:ascii="Arial" w:hAnsi="Arial"/>
          <w:b w:val="0"/>
          <w:i/>
          <w:sz w:val="28"/>
        </w:rPr>
        <w:t>«deberá realizar de forma expresa y justificada un análisis ponderado de la apariencia del buen derecho y del interés social»</w:t>
      </w:r>
      <w:r>
        <w:rPr>
          <w:rFonts w:ascii="Arial" w:hAnsi="Arial"/>
          <w:b w:val="0"/>
          <w:i w:val="0"/>
          <w:sz w:val="28"/>
        </w:rPr>
        <w:t xml:space="preserve">, a fin de verificar la existencia del acto, el interés suspensional de la persona promovente, que la concesión </w:t>
      </w:r>
      <w:r>
        <w:rPr>
          <w:rFonts w:ascii="Arial" w:hAnsi="Arial"/>
          <w:b w:val="0"/>
          <w:i/>
          <w:sz w:val="28"/>
        </w:rPr>
        <w:t>«no causa un daño significativo a la colectividad, ni priva a la sociedad de beneficios que ordinariamente le corresponden»</w:t>
      </w:r>
      <w:r>
        <w:rPr>
          <w:rFonts w:ascii="Arial" w:hAnsi="Arial"/>
          <w:b w:val="0"/>
          <w:i w:val="0"/>
          <w:sz w:val="28"/>
        </w:rPr>
        <w:t>, y la apariencia del buen derecho, sin prejuzgar sobre el fondo.</w:t>
      </w:r>
    </w:p>
    <w:p>
      <w:pPr>
        <w:spacing w:line="360" w:lineRule="auto"/>
        <w:jc w:val="both"/>
      </w:pPr>
      <w:r>
        <w:rPr>
          <w:rFonts w:ascii="Arial" w:hAnsi="Arial"/>
          <w:b w:val="0"/>
          <w:i w:val="0"/>
          <w:sz w:val="28"/>
        </w:rPr>
        <w:t>Desde la reforma constitucional de 2011, la fracción X del artículo 107 de la Constitución eleva esa ponderación a rango fundamental. La doctrina recuerda que la reforma del 6 de junio de 2011 incorporó entre las bases constitucionales de la suspensión la apariencia del buen derecho y su ponderación, y que ponderar ese concepto obliga a indagar qué tan probable es que la pretensión de la persona quejosa prospere, lo que exige valorar el derecho que alega y no sólo la naturaleza del acto.</w:t>
      </w:r>
      <w:r>
        <w:rPr>
          <w:rFonts w:ascii="Arial" w:hAnsi="Arial"/>
          <w:vertAlign w:val="superscript"/>
        </w:rPr>
        <w:t>2</w:t>
      </w:r>
      <w:r>
        <w:rPr>
          <w:rFonts w:ascii="Arial" w:hAnsi="Arial"/>
          <w:b w:val="0"/>
          <w:i w:val="0"/>
          <w:sz w:val="28"/>
        </w:rPr>
        <w:t xml:space="preserve"> La negativa que omite ese examen y se limita a etiquetar la materia como de orden público no cumple con la norma.</w:t>
      </w:r>
    </w:p>
    <w:p>
      <w:pPr>
        <w:spacing w:line="360" w:lineRule="auto"/>
        <w:jc w:val="both"/>
      </w:pPr>
      <w:r>
        <w:rPr>
          <w:rFonts w:ascii="Arial" w:hAnsi="Arial"/>
          <w:b w:val="0"/>
          <w:i w:val="0"/>
          <w:sz w:val="28"/>
        </w:rPr>
        <w:t xml:space="preserve">Los artículos 139, 147 y 150 completan el cuadro. El primero ordena que, cuando proceda la suspensión y exista peligro inminente de que el acto se ejecute con perjuicios de difícil reparación, el juzgador, con la presentación de la demanda, disponga </w:t>
      </w:r>
      <w:r>
        <w:rPr>
          <w:rFonts w:ascii="Arial" w:hAnsi="Arial"/>
          <w:b w:val="0"/>
          <w:i/>
          <w:sz w:val="28"/>
        </w:rPr>
        <w:t>«que las cosas se mantengan en el estado que guarden hasta que se notifique a la autoridad responsable la resolución que se dicte sobre la suspensión definitiva»</w:t>
      </w:r>
      <w:r>
        <w:rPr>
          <w:rFonts w:ascii="Arial" w:hAnsi="Arial"/>
          <w:b w:val="0"/>
          <w:i w:val="0"/>
          <w:sz w:val="28"/>
        </w:rPr>
        <w:t>. El segundo le impone fijar la situación en que habrán de quedar las cosas y tomar las medidas pertinentes para conservar la materia del amparo.</w:t>
      </w:r>
    </w:p>
    <w:p>
      <w:pPr>
        <w:spacing w:line="360" w:lineRule="auto"/>
        <w:jc w:val="both"/>
      </w:pPr>
      <w:r>
        <w:rPr>
          <w:rFonts w:ascii="Arial" w:hAnsi="Arial"/>
          <w:b w:val="0"/>
          <w:i w:val="0"/>
          <w:sz w:val="28"/>
        </w:rPr>
        <w:t xml:space="preserve">El artículo 150, por su parte, contiene la regla que el auto recurrido invocó sin comprenderla: la suspensión </w:t>
      </w:r>
      <w:r>
        <w:rPr>
          <w:rFonts w:ascii="Arial" w:hAnsi="Arial"/>
          <w:b w:val="0"/>
          <w:i/>
          <w:sz w:val="28"/>
        </w:rPr>
        <w:t>«se concederá en forma tal que no impida la continuación del procedimiento en el asunto que haya motivado el acto reclamado»</w:t>
      </w:r>
      <w:r>
        <w:rPr>
          <w:rFonts w:ascii="Arial" w:hAnsi="Arial"/>
          <w:b w:val="0"/>
          <w:i w:val="0"/>
          <w:sz w:val="28"/>
        </w:rPr>
        <w:t>. Nótese que el precepto no manda negar la medida cuando el acto proviene de un procedimiento, sino concederla con un efecto acotado, de modo que el trámite de origen siga su curso. La regla es de modulación de efectos, no de improcedencia.</w:t>
      </w:r>
    </w:p>
    <w:p>
      <w:pPr>
        <w:spacing w:line="360" w:lineRule="auto"/>
        <w:jc w:val="both"/>
      </w:pPr>
      <w:r>
        <w:rPr>
          <w:rFonts w:ascii="Arial" w:hAnsi="Arial"/>
          <w:b w:val="0"/>
          <w:i w:val="0"/>
          <w:sz w:val="28"/>
        </w:rPr>
        <w:t>A ello se suma la naturaleza de la medida de apremio. La doctrina, al explicar las que prevé el propio juicio de amparo, la describe como un instrumento para compeler a quien resiste el cumplimiento de una determinación judicial, respecto del cual el legislador no fijó orden alguno, de manera que el juzgador elige el medio que estime conveniente según las circunstancias y puede incluso reiterarlo cuantas veces sea necesario.</w:t>
      </w:r>
      <w:r>
        <w:rPr>
          <w:rFonts w:ascii="Arial" w:hAnsi="Arial"/>
          <w:vertAlign w:val="superscript"/>
        </w:rPr>
        <w:t>3</w:t>
      </w:r>
      <w:r>
        <w:rPr>
          <w:rFonts w:ascii="Arial" w:hAnsi="Arial"/>
          <w:b w:val="0"/>
          <w:i w:val="0"/>
          <w:sz w:val="28"/>
        </w:rPr>
        <w:t xml:space="preserve"> La multa es, pues, uno de varios medios intercambiables y repetibles, no una condición de existencia del procedimiento.</w:t>
      </w:r>
    </w:p>
    <w:p>
      <w:pPr>
        <w:spacing w:line="360" w:lineRule="auto"/>
        <w:jc w:val="both"/>
      </w:pPr>
      <w:r>
        <w:rPr>
          <w:rFonts w:ascii="Arial" w:hAnsi="Arial"/>
          <w:b w:val="0"/>
          <w:i w:val="0"/>
          <w:sz w:val="28"/>
        </w:rPr>
        <w:t>De esa premisa se sigue con naturalidad la conclusión que sostiene la jurisprudencia aplicable: detener el cobro de una multa concreta no paraliza el juicio laboral, porque el tribunal responsable conserva íntegra su potestad de seguir actuando y de recurrir a los demás medios de apremio que la propia legislación laboral le confiere, como lo reconoce el criterio al remitir al artículo 731 de la Ley Federal del Trabajo.</w:t>
      </w:r>
    </w:p>
    <w:p>
      <w:pPr>
        <w:spacing w:line="360" w:lineRule="auto"/>
        <w:jc w:val="both"/>
      </w:pPr>
      <w:r>
        <w:rPr>
          <w:rFonts w:ascii="Arial" w:hAnsi="Arial"/>
          <w:b w:val="0"/>
          <w:i w:val="0"/>
          <w:sz w:val="28"/>
        </w:rPr>
        <w:t xml:space="preserve">Precisamente ese es el punto que resolvió el Pleno Regional en Materias Penal y de Trabajo de la Región Centro-Sur, con residencia en la Ciudad de México, en la jurisprudencia de rubro </w:t>
      </w:r>
      <w:r>
        <w:rPr>
          <w:rFonts w:ascii="Arial" w:hAnsi="Arial"/>
          <w:b w:val="0"/>
          <w:i/>
          <w:sz w:val="28"/>
        </w:rPr>
        <w:t>«SUSPENSIÓN PROVISIONAL. PROCEDE CONTRA LA MULTA IMPUESTA COMO MEDIDA DE APREMIO A UNA DE LAS PARTES EN UN PROCEDIMIENTO LABORAL.»</w:t>
      </w:r>
      <w:r>
        <w:rPr>
          <w:rFonts w:ascii="Arial" w:hAnsi="Arial"/>
          <w:b w:val="0"/>
          <w:i w:val="0"/>
          <w:sz w:val="28"/>
        </w:rPr>
        <w:t>, clave PR.P.T.CS. J/24 L (12a.), registro digital 2032577, instancia Plenos Regionales, publicada en el Semanario Judicial de la Federación el viernes 28 de agosto de 2026 y de aplicación obligatoria a partir del lunes 31 de agosto de 2026.</w:t>
      </w:r>
    </w:p>
    <w:p>
      <w:pPr>
        <w:spacing w:line="360" w:lineRule="auto"/>
        <w:jc w:val="both"/>
      </w:pPr>
      <w:r>
        <w:rPr>
          <w:rFonts w:ascii="Arial" w:hAnsi="Arial"/>
          <w:b w:val="0"/>
          <w:i w:val="0"/>
          <w:sz w:val="28"/>
        </w:rPr>
        <w:t xml:space="preserve">Su criterio jurídico es el siguiente: </w:t>
      </w:r>
      <w:r>
        <w:rPr>
          <w:rFonts w:ascii="Arial" w:hAnsi="Arial"/>
          <w:b w:val="0"/>
          <w:i/>
          <w:sz w:val="28"/>
        </w:rPr>
        <w:t>«Procede la suspensión provisional contra la multa impuesta como medida de apremio a una de las partes en un procedimiento laboral, únicamente para el efecto de que no se ejecute hasta en tanto se resuelva sobre la suspensión definitiva, porque con ello no se sigue perjuicio al interés social ni se contravienen disposiciones de orden público»</w:t>
      </w:r>
      <w:r>
        <w:rPr>
          <w:rFonts w:ascii="Arial" w:hAnsi="Arial"/>
          <w:b w:val="0"/>
          <w:i w:val="0"/>
          <w:sz w:val="28"/>
        </w:rPr>
        <w:t>.</w:t>
      </w:r>
    </w:p>
    <w:p>
      <w:pPr>
        <w:spacing w:line="360" w:lineRule="auto"/>
        <w:jc w:val="both"/>
      </w:pPr>
      <w:r>
        <w:rPr>
          <w:rFonts w:ascii="Arial" w:hAnsi="Arial"/>
          <w:b w:val="0"/>
          <w:i w:val="0"/>
          <w:sz w:val="28"/>
        </w:rPr>
        <w:t xml:space="preserve">En su justificación, el Pleno Regional explicó que de los artículos 128, 139, 147 y 150 de la Ley de Amparo se desprende que la suspensión contra actos jurisdiccionales no debe paralizar el procedimiento de origen, por lo que el juzgador debe precisar sus efectos; y que detener temporalmente la ejecución de la multa </w:t>
      </w:r>
      <w:r>
        <w:rPr>
          <w:rFonts w:ascii="Arial" w:hAnsi="Arial"/>
          <w:b w:val="0"/>
          <w:i/>
          <w:sz w:val="28"/>
        </w:rPr>
        <w:t>«no paraliza el procedimiento de origen, pues respecto de él, la autoridad responsable podrá continuar emitiendo las actuaciones conducentes, incluso las relativas al cumplimiento de sus determinaciones, al prever el artículo 731 de la Ley Federal del Trabajo otras medidas de apremio para ese efecto»</w:t>
      </w:r>
      <w:r>
        <w:rPr>
          <w:rFonts w:ascii="Arial" w:hAnsi="Arial"/>
          <w:b w:val="0"/>
          <w:i w:val="0"/>
          <w:sz w:val="28"/>
        </w:rPr>
        <w:t>.</w:t>
      </w:r>
    </w:p>
    <w:p>
      <w:pPr>
        <w:spacing w:line="360" w:lineRule="auto"/>
        <w:jc w:val="both"/>
      </w:pPr>
      <w:r>
        <w:rPr>
          <w:rFonts w:ascii="Arial" w:hAnsi="Arial"/>
          <w:b w:val="0"/>
          <w:i w:val="0"/>
          <w:sz w:val="28"/>
        </w:rPr>
        <w:t xml:space="preserve">Esa jurisprudencia surgió de la contradicción de criterios 70/2026, en la que uno de los tribunales contendientes sostenía justamente la postura que reproduce el auto recurrido, a saber, que la suspensión obstaculiza el procedimiento y que en éste se había asegurado la subsistencia de la parte trabajadora. El Pleno Regional descartó esa lectura y unificó el criterio en el sentido de la procedencia de la medida, de modo que el debate que el </w:t>
      </w:r>
      <w:r>
        <w:rPr>
          <w:rFonts w:ascii="Arial" w:hAnsi="Arial"/>
          <w:b/>
          <w:i w:val="0"/>
          <w:sz w:val="28"/>
        </w:rPr>
        <w:t>[JUZGADO DE DISTRITO]</w:t>
      </w:r>
      <w:r>
        <w:rPr>
          <w:rFonts w:ascii="Arial" w:hAnsi="Arial"/>
          <w:b w:val="0"/>
          <w:i w:val="0"/>
          <w:sz w:val="28"/>
        </w:rPr>
        <w:t xml:space="preserve"> reabre está ya resuelto.</w:t>
      </w:r>
    </w:p>
    <w:p>
      <w:pPr>
        <w:spacing w:line="360" w:lineRule="auto"/>
        <w:jc w:val="both"/>
      </w:pPr>
      <w:r>
        <w:rPr>
          <w:rFonts w:ascii="Arial" w:hAnsi="Arial"/>
          <w:b w:val="0"/>
          <w:i w:val="0"/>
          <w:sz w:val="28"/>
        </w:rPr>
        <w:t>Conforme al artículo 217, párrafo segundo, de la Ley de Amparo, la jurisprudencia de los plenos regionales es obligatoria para todas las autoridades jurisdiccionales de la Federación y de las entidades federativas de su región. Cuando el juzgado de distrito y el tribunal colegiado que conocen del asunto pertenecen a la región Centro-Sur, su observancia es forzosa; y aun fuera de ella, la fuerza de sus razones, que derivan del texto expreso de los artículos 128, 139, 147 y 150, la convierte en criterio orientador de peso, del que el juzgador sólo podría apartarse con una motivación reforzada.</w:t>
      </w:r>
    </w:p>
    <w:p>
      <w:pPr>
        <w:spacing w:line="360" w:lineRule="auto"/>
        <w:jc w:val="both"/>
      </w:pPr>
      <w:r>
        <w:rPr>
          <w:rFonts w:ascii="Arial" w:hAnsi="Arial"/>
          <w:b/>
          <w:sz w:val="28"/>
        </w:rPr>
        <w:t>IV. Aplicación al caso concreto y refutación de la consideración recurrida.</w:t>
      </w:r>
    </w:p>
    <w:p>
      <w:pPr>
        <w:spacing w:line="360" w:lineRule="auto"/>
        <w:jc w:val="both"/>
      </w:pPr>
      <w:r>
        <w:rPr>
          <w:rFonts w:ascii="Arial" w:hAnsi="Arial"/>
          <w:b w:val="0"/>
          <w:i w:val="0"/>
          <w:sz w:val="28"/>
        </w:rPr>
        <w:t xml:space="preserve">Los hechos del incidente encuadran con exactitud en la premisa expuesta. El acto reclamado es la multa de </w:t>
      </w:r>
      <w:r>
        <w:rPr>
          <w:rFonts w:ascii="Arial" w:hAnsi="Arial"/>
          <w:b/>
          <w:i w:val="0"/>
          <w:sz w:val="28"/>
        </w:rPr>
        <w:t>[MONTO DE LA MULTA]</w:t>
      </w:r>
      <w:r>
        <w:rPr>
          <w:rFonts w:ascii="Arial" w:hAnsi="Arial"/>
          <w:b w:val="0"/>
          <w:i w:val="0"/>
          <w:sz w:val="28"/>
        </w:rPr>
        <w:t xml:space="preserve"> que el </w:t>
      </w:r>
      <w:r>
        <w:rPr>
          <w:rFonts w:ascii="Arial" w:hAnsi="Arial"/>
          <w:b/>
          <w:i w:val="0"/>
          <w:sz w:val="28"/>
        </w:rPr>
        <w:t>[TRIBUNAL LABORAL RESPONSABLE]</w:t>
      </w:r>
      <w:r>
        <w:rPr>
          <w:rFonts w:ascii="Arial" w:hAnsi="Arial"/>
          <w:b w:val="0"/>
          <w:i w:val="0"/>
          <w:sz w:val="28"/>
        </w:rPr>
        <w:t xml:space="preserve"> impuso a </w:t>
      </w:r>
      <w:r>
        <w:rPr>
          <w:rFonts w:ascii="Arial" w:hAnsi="Arial"/>
          <w:b/>
          <w:i w:val="0"/>
          <w:sz w:val="28"/>
        </w:rPr>
        <w:t>[NOMBRE DE LA PERSONA QUEJOSA]</w:t>
      </w:r>
      <w:r>
        <w:rPr>
          <w:rFonts w:ascii="Arial" w:hAnsi="Arial"/>
          <w:b w:val="0"/>
          <w:i w:val="0"/>
          <w:sz w:val="28"/>
        </w:rPr>
        <w:t xml:space="preserve"> como medida de apremio en el acuerdo de </w:t>
      </w:r>
      <w:r>
        <w:rPr>
          <w:rFonts w:ascii="Arial" w:hAnsi="Arial"/>
          <w:b/>
          <w:i w:val="0"/>
          <w:sz w:val="28"/>
        </w:rPr>
        <w:t>[FECHA DEL ACUERDO QUE IMPUSO LA MULTA]</w:t>
      </w:r>
      <w:r>
        <w:rPr>
          <w:rFonts w:ascii="Arial" w:hAnsi="Arial"/>
          <w:b w:val="0"/>
          <w:i w:val="0"/>
          <w:sz w:val="28"/>
        </w:rPr>
        <w:t xml:space="preserve">, dentro del expediente </w:t>
      </w:r>
      <w:r>
        <w:rPr>
          <w:rFonts w:ascii="Arial" w:hAnsi="Arial"/>
          <w:b/>
          <w:i w:val="0"/>
          <w:sz w:val="28"/>
        </w:rPr>
        <w:t>[NÚMERO DE EXPEDIENTE LABORAL]</w:t>
      </w:r>
      <w:r>
        <w:rPr>
          <w:rFonts w:ascii="Arial" w:hAnsi="Arial"/>
          <w:b w:val="0"/>
          <w:i w:val="0"/>
          <w:sz w:val="28"/>
        </w:rPr>
        <w:t>. Se trata, por tanto, de una multa impuesta como medida de apremio a una de las partes en un procedimiento laboral, hipótesis idéntica a la que resolvió el Pleno Regional.</w:t>
      </w:r>
    </w:p>
    <w:p>
      <w:pPr>
        <w:spacing w:line="360" w:lineRule="auto"/>
        <w:jc w:val="both"/>
      </w:pPr>
      <w:r>
        <w:rPr>
          <w:rFonts w:ascii="Arial" w:hAnsi="Arial"/>
          <w:b w:val="0"/>
          <w:i w:val="0"/>
          <w:sz w:val="28"/>
        </w:rPr>
        <w:t xml:space="preserve">La suspensión se pidió para el único efecto de que la multa no se hiciera efectiva mientras se resolvía la definitiva, sin solicitar que el juicio laboral se detuviera ni que el tribunal responsable dejara de actuar. Los requisitos del artículo 128 están satisfechos: el acto existe y consta en autos; el interés suspensional deriva de que su ejecución afectará directamente el patrimonio de la persona quejosa; y la apariencia del buen derecho se desprende de </w:t>
      </w:r>
      <w:r>
        <w:rPr>
          <w:rFonts w:ascii="Arial" w:hAnsi="Arial"/>
          <w:b/>
          <w:i w:val="0"/>
          <w:sz w:val="28"/>
        </w:rPr>
        <w:t>[SÍNTESIS DEL VICIO ATRIBUIDO A LA MULTA EN LA DEMANDA DE AMPARO]</w:t>
      </w:r>
      <w:r>
        <w:rPr>
          <w:rFonts w:ascii="Arial" w:hAnsi="Arial"/>
          <w:b w:val="0"/>
          <w:i w:val="0"/>
          <w:sz w:val="28"/>
        </w:rPr>
        <w:t>.</w:t>
      </w:r>
    </w:p>
    <w:p>
      <w:pPr>
        <w:spacing w:line="360" w:lineRule="auto"/>
        <w:jc w:val="both"/>
      </w:pPr>
      <w:r>
        <w:rPr>
          <w:rFonts w:ascii="Arial" w:hAnsi="Arial"/>
          <w:b w:val="0"/>
          <w:i w:val="0"/>
          <w:sz w:val="28"/>
        </w:rPr>
        <w:t>En cuanto al interés social y las disposiciones de orden público, la conclusión ya está fijada por la jurisprudencia: detener temporalmente la ejecución de la multa no causa daño alguno a la colectividad ni la priva de un beneficio que ordinariamente le corresponda, porque el procedimiento laboral continúa y el tribunal responsable conserva todos los demás medios de apremio. La subsunción es directa y el auto recurrido debió concederla con ese efecto acotado.</w:t>
      </w:r>
    </w:p>
    <w:p>
      <w:pPr>
        <w:spacing w:line="360" w:lineRule="auto"/>
        <w:jc w:val="both"/>
      </w:pPr>
      <w:r>
        <w:rPr>
          <w:rFonts w:ascii="Arial" w:hAnsi="Arial"/>
          <w:b w:val="0"/>
          <w:i w:val="0"/>
          <w:sz w:val="28"/>
        </w:rPr>
        <w:t xml:space="preserve">Frente a ello, el </w:t>
      </w:r>
      <w:r>
        <w:rPr>
          <w:rFonts w:ascii="Arial" w:hAnsi="Arial"/>
          <w:b/>
          <w:i w:val="0"/>
          <w:sz w:val="28"/>
        </w:rPr>
        <w:t>[JUZGADO DE DISTRITO]</w:t>
      </w:r>
      <w:r>
        <w:rPr>
          <w:rFonts w:ascii="Arial" w:hAnsi="Arial"/>
          <w:b w:val="0"/>
          <w:i w:val="0"/>
          <w:sz w:val="28"/>
        </w:rPr>
        <w:t xml:space="preserve"> razonó que, por tratarse de una medida de apremio dictada en un procedimiento de orden público, suspenderla equivaldría a obstaculizar el juicio laboral. Ese razonamiento es lógicamente inválido por partida doble y, además, contraviene la jurisprudencia obligatoria.</w:t>
      </w:r>
    </w:p>
    <w:p>
      <w:pPr>
        <w:spacing w:line="360" w:lineRule="auto"/>
        <w:jc w:val="both"/>
      </w:pPr>
      <w:r>
        <w:rPr>
          <w:rFonts w:ascii="Arial" w:hAnsi="Arial"/>
          <w:b w:val="0"/>
          <w:i w:val="0"/>
          <w:sz w:val="28"/>
        </w:rPr>
        <w:t>En primer lugar, incurre en falsa dicotomía, falacia que la teoría de la argumentación describe como la tendencia a ver sólo dos opciones cuando existen otras, presentando una alternativa como evidentemente aceptable y la otra como inadmisible.</w:t>
      </w:r>
      <w:r>
        <w:rPr>
          <w:rFonts w:ascii="Arial" w:hAnsi="Arial"/>
          <w:vertAlign w:val="superscript"/>
        </w:rPr>
        <w:t>4</w:t>
      </w:r>
      <w:r>
        <w:rPr>
          <w:rFonts w:ascii="Arial" w:hAnsi="Arial"/>
          <w:b w:val="0"/>
          <w:i w:val="0"/>
          <w:sz w:val="28"/>
        </w:rPr>
        <w:t xml:space="preserve"> El auto plantea el dilema entre ejecutar la multa o paralizar el procedimiento, cuando la propia Ley de Amparo ofrece la tercera vía: conceder la suspensión </w:t>
      </w:r>
      <w:r>
        <w:rPr>
          <w:rFonts w:ascii="Arial" w:hAnsi="Arial"/>
          <w:b w:val="0"/>
          <w:i/>
          <w:sz w:val="28"/>
        </w:rPr>
        <w:t>«en forma tal que no impida la continuación del procedimiento»</w:t>
      </w:r>
      <w:r>
        <w:rPr>
          <w:rFonts w:ascii="Arial" w:hAnsi="Arial"/>
          <w:b w:val="0"/>
          <w:i w:val="0"/>
          <w:sz w:val="28"/>
        </w:rPr>
        <w:t>, como manda el artículo 150. Esa opción intermedia es, precisamente, la que la jurisprudencia ordena adoptar.</w:t>
      </w:r>
    </w:p>
    <w:p>
      <w:pPr>
        <w:spacing w:line="360" w:lineRule="auto"/>
        <w:jc w:val="both"/>
      </w:pPr>
      <w:r>
        <w:rPr>
          <w:rFonts w:ascii="Arial" w:hAnsi="Arial"/>
          <w:b w:val="0"/>
          <w:i w:val="0"/>
          <w:sz w:val="28"/>
        </w:rPr>
        <w:t>En segundo lugar, el auto comete la falacia que la doctrina denomina secundum quid o de mala aplicación de una regla, que se comete al aplicar rígidamente una regla como si no existieran excepciones, olvidando que en el caso particular puede darse una circunstancia que la haga inaplicable.</w:t>
      </w:r>
      <w:r>
        <w:rPr>
          <w:rFonts w:ascii="Arial" w:hAnsi="Arial"/>
          <w:vertAlign w:val="superscript"/>
        </w:rPr>
        <w:t>5</w:t>
      </w:r>
      <w:r>
        <w:rPr>
          <w:rFonts w:ascii="Arial" w:hAnsi="Arial"/>
          <w:b w:val="0"/>
          <w:i w:val="0"/>
          <w:sz w:val="28"/>
        </w:rPr>
        <w:t xml:space="preserve"> Por referirse a circunstancias inhabituales, se la considera una variedad de la falacia del accidente.</w:t>
      </w:r>
      <w:r>
        <w:rPr>
          <w:rFonts w:ascii="Arial" w:hAnsi="Arial"/>
          <w:vertAlign w:val="superscript"/>
        </w:rPr>
        <w:t>6</w:t>
      </w:r>
    </w:p>
    <w:p>
      <w:pPr>
        <w:spacing w:line="360" w:lineRule="auto"/>
        <w:jc w:val="both"/>
      </w:pPr>
      <w:r>
        <w:rPr>
          <w:rFonts w:ascii="Arial" w:hAnsi="Arial"/>
          <w:b w:val="0"/>
          <w:i w:val="0"/>
          <w:sz w:val="28"/>
        </w:rPr>
        <w:t>De que el procedimiento laboral esté regido por normas de orden público, lo que nadie discute, no se sigue que cada acto dictado en él sea insuspendible; la regla general sobre la naturaleza del procedimiento no dice nada acerca de si detener el cobro de una multa lo obstaculiza, y la jurisprudencia demuestra que no lo hace.</w:t>
      </w:r>
    </w:p>
    <w:p>
      <w:pPr>
        <w:spacing w:line="360" w:lineRule="auto"/>
        <w:jc w:val="both"/>
      </w:pPr>
      <w:r>
        <w:rPr>
          <w:rFonts w:ascii="Arial" w:hAnsi="Arial"/>
          <w:b w:val="0"/>
          <w:i w:val="0"/>
          <w:sz w:val="28"/>
        </w:rPr>
        <w:t xml:space="preserve">A ello se suma un vicio de motivación. El artículo 128 exige un análisis </w:t>
      </w:r>
      <w:r>
        <w:rPr>
          <w:rFonts w:ascii="Arial" w:hAnsi="Arial"/>
          <w:b w:val="0"/>
          <w:i/>
          <w:sz w:val="28"/>
        </w:rPr>
        <w:t>«expreso y justificado»</w:t>
      </w:r>
      <w:r>
        <w:rPr>
          <w:rFonts w:ascii="Arial" w:hAnsi="Arial"/>
          <w:b w:val="0"/>
          <w:i w:val="0"/>
          <w:sz w:val="28"/>
        </w:rPr>
        <w:t xml:space="preserve"> de la apariencia del buen derecho frente al interés social, y el artículo 138 ordena valorar los elementos de autos atendiendo a la naturaleza provisional e inmediata de la medida. El auto recurrido no ponderó nada: sustituyó el examen por una calificación abstracta de la materia, sin explicar qué beneficio concreto perdería la sociedad si la multa no se cobra durante los pocos días que median hasta la resolución sobre la suspensión definitiva.</w:t>
      </w:r>
    </w:p>
    <w:p>
      <w:pPr>
        <w:spacing w:line="360" w:lineRule="auto"/>
        <w:jc w:val="both"/>
      </w:pPr>
      <w:r>
        <w:rPr>
          <w:rFonts w:ascii="Arial" w:hAnsi="Arial"/>
          <w:b/>
          <w:i w:val="0"/>
          <w:sz w:val="28"/>
        </w:rPr>
        <w:t>[EN SU CASO, SI EL AUTO INVOCÓ LA SUBSISTENCIA DE LA PARTE TRABAJADORA]</w:t>
      </w:r>
      <w:r>
        <w:rPr>
          <w:rFonts w:ascii="Arial" w:hAnsi="Arial"/>
          <w:b w:val="0"/>
          <w:i w:val="0"/>
          <w:sz w:val="28"/>
        </w:rPr>
        <w:t>. Ese argumento es una conclusión irrelevante respecto de la litis incidental: la multa impuesta como medida de apremio es una sanción procesal, no una prestación a favor de la parte trabajadora, de modo que detener su cobro no afecta la subsistencia de nadie ni toca las prestaciones laborales en disputa. La regla protectora de la subsistencia opera frente a la ejecución del laudo, en términos del artículo 152 de la Ley de Amparo, y no frente a una multa procesal.</w:t>
      </w:r>
    </w:p>
    <w:p>
      <w:pPr>
        <w:spacing w:line="360" w:lineRule="auto"/>
        <w:jc w:val="both"/>
      </w:pPr>
      <w:r>
        <w:rPr>
          <w:rFonts w:ascii="Arial" w:hAnsi="Arial"/>
          <w:b w:val="0"/>
          <w:i w:val="0"/>
          <w:sz w:val="28"/>
        </w:rPr>
        <w:t>La consecuencia sistémica de la postura recurrida confirma el error: si bastara la naturaleza de orden público del procedimiento laboral para negar toda suspensión contra actos dictados en él, la medida cautelar quedaría proscrita en la materia por vía interpretativa, resultado que ningún precepto autoriza y que contradice la orientación que la doctrina destaca en la propia Suprema Corte: aun frente a prohibiciones legales de suspender, la procedencia de la medida debe valorarse casuísticamente, con el examen de proporcionalidad como guía para decidir si pesa más otorgar la suspensión o permitir la ejecución.</w:t>
      </w:r>
      <w:r>
        <w:rPr>
          <w:rFonts w:ascii="Arial" w:hAnsi="Arial"/>
          <w:vertAlign w:val="superscript"/>
        </w:rPr>
        <w:t>7</w:t>
      </w:r>
    </w:p>
    <w:p>
      <w:pPr>
        <w:spacing w:line="360" w:lineRule="auto"/>
        <w:jc w:val="both"/>
      </w:pPr>
      <w:r>
        <w:rPr>
          <w:rFonts w:ascii="Arial" w:hAnsi="Arial"/>
          <w:b w:val="0"/>
          <w:i w:val="0"/>
          <w:sz w:val="28"/>
        </w:rPr>
        <w:t>La Ley de Amparo no niega la suspensión en estos casos; la modula. Lo que el artículo 150 exige es acotar el efecto, y eso fue exactamente lo que se pidió.</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el acto reclamado es una multa impuesta como medida de apremio a una de las partes en un procedimiento laboral; la suspensión se pidió para el solo efecto de que no se ejecute hasta que se resuelva sobre la definitiva; y con ese alcance la medida no paraliza el juicio de origen, no perjudica al interés social ni contraviene disposiciones de orden público, según lo resolvió con carácter de jurisprudencia el Pleno Regional en Materias Penal y de Trabajo de la Región Centro-Sur. El auto que la negó aplicó de manera inexacta los artículos 128, 139, 147 y 150 de la Ley de Amparo.</w:t>
      </w:r>
    </w:p>
    <w:p>
      <w:pPr>
        <w:spacing w:line="360" w:lineRule="auto"/>
        <w:jc w:val="both"/>
      </w:pPr>
      <w:r>
        <w:rPr>
          <w:rFonts w:ascii="Arial" w:hAnsi="Arial"/>
          <w:b w:val="0"/>
          <w:i w:val="0"/>
          <w:sz w:val="28"/>
        </w:rPr>
        <w:t xml:space="preserve">Por lo expuesto, se solicita a ese </w:t>
      </w:r>
      <w:r>
        <w:rPr>
          <w:rFonts w:ascii="Arial" w:hAnsi="Arial"/>
          <w:b/>
          <w:i w:val="0"/>
          <w:sz w:val="28"/>
        </w:rPr>
        <w:t>[TRIBUNAL COLEGIADO]</w:t>
      </w:r>
      <w:r>
        <w:rPr>
          <w:rFonts w:ascii="Arial" w:hAnsi="Arial"/>
          <w:b w:val="0"/>
          <w:i w:val="0"/>
          <w:sz w:val="28"/>
        </w:rPr>
        <w:t xml:space="preserve"> declarar fundado el presente agravio, revocar el auto recurrido y, en su lugar, conceder a </w:t>
      </w:r>
      <w:r>
        <w:rPr>
          <w:rFonts w:ascii="Arial" w:hAnsi="Arial"/>
          <w:b/>
          <w:i w:val="0"/>
          <w:sz w:val="28"/>
        </w:rPr>
        <w:t>[NOMBRE DE LA PERSONA QUEJOSA]</w:t>
      </w:r>
      <w:r>
        <w:rPr>
          <w:rFonts w:ascii="Arial" w:hAnsi="Arial"/>
          <w:b w:val="0"/>
          <w:i w:val="0"/>
          <w:sz w:val="28"/>
        </w:rPr>
        <w:t xml:space="preserve"> la suspensión provisional para el único efecto de que la multa reclamada no se ejecute hasta en tanto el </w:t>
      </w:r>
      <w:r>
        <w:rPr>
          <w:rFonts w:ascii="Arial" w:hAnsi="Arial"/>
          <w:b/>
          <w:i w:val="0"/>
          <w:sz w:val="28"/>
        </w:rPr>
        <w:t>[JUZGADO DE DISTRITO]</w:t>
      </w:r>
      <w:r>
        <w:rPr>
          <w:rFonts w:ascii="Arial" w:hAnsi="Arial"/>
          <w:b w:val="0"/>
          <w:i w:val="0"/>
          <w:sz w:val="28"/>
        </w:rPr>
        <w:t xml:space="preserve"> notifique a la autoridad responsable la resolución que dicte sobre la suspensión definitiva, sin que ello impida la continuación del procedimiento laboral de origen, en los términos que ese órgano estime pertinentes conforme al artículo 147 de la Ley de Amparo.</w:t>
      </w:r>
    </w:p>
    <w:p>
      <w:pPr>
        <w:spacing w:line="360" w:lineRule="auto"/>
        <w:jc w:val="both"/>
      </w:pPr>
      <w:r>
        <w:rPr>
          <w:rFonts w:ascii="Arial" w:hAnsi="Arial"/>
          <w:b w:val="0"/>
          <w:i w:val="0"/>
          <w:sz w:val="28"/>
        </w:rPr>
        <w:t>Se pide, además, que la concesión se comunique de inmediato a la autoridad responsable por el medio más expedito, dado el peligro inminente de que la multa se haga efectiva antes de que se resuelva el incidente, y que, de haberse iniciado ya su cobro, se ordene mantener las cosas en el estado que guardan en términos del artículo 139 de la propia ley.</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1966.</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79.</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95.</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 p. 87.</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84.</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88.</w:t>
      </w:r>
    </w:p>
    <w:p>
      <w:pPr>
        <w:spacing w:after="60"/>
        <w:ind w:left="360" w:hanging="360"/>
        <w:jc w:val="both"/>
      </w:pPr>
      <w:r>
        <w:rPr>
          <w:rFonts w:ascii="Arial" w:hAnsi="Arial"/>
          <w:sz w:val="20"/>
          <w:vertAlign w:val="superscript"/>
        </w:rPr>
        <w:t>7</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81.</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p>
      <w:pPr>
        <w:spacing w:after="60"/>
        <w:ind w:left="360" w:hanging="360"/>
        <w:jc w:val="both"/>
      </w:pP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