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AMPARO DIRECTO LABORAL. SEMANAS COTIZADAS ACREDITADAS CON EL SIA-INFONAVIT</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adapta el concepto de violación a tu demanda de amparo directo. Primero localiza en el expediente laboral el reporte del SIA-Infonavit y la hoja de certificación de derechos, y anota la foja de cada uno; después identifica el considerando exacto de la sentencia o laudo donde la responsable negó valor a la información de Infonavit, porque la refutación del machote debe morder ese razonamiento y no otro.</w:t>
      </w:r>
    </w:p>
    <w:p>
      <w:pPr>
        <w:spacing w:line="360" w:lineRule="auto"/>
        <w:jc w:val="both"/>
      </w:pPr>
      <w:r>
        <w:rPr>
          <w:rFonts w:ascii="Arial" w:hAnsi="Arial"/>
          <w:b w:val="0"/>
          <w:i w:val="0"/>
          <w:sz w:val="24"/>
        </w:rPr>
        <w:t>Llena los campos editables, verifica cada dato contra tus constancias y elimina el párrafo sobre la aplicación de la jurisprudencia a sentencias anteriores si la tuya se dictó después del 31 de agosto de 2026. Presenta la demanda ante la propia autoridad responsable dentro del plazo que fija la Ley de Amparo.</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el ordinal que le corresponda en tu demanda (PRIMERO, SEGUNDO…).</w:t>
      </w:r>
    </w:p>
    <w:p>
      <w:pPr>
        <w:spacing w:line="360" w:lineRule="auto"/>
        <w:jc w:val="both"/>
      </w:pPr>
      <w:r>
        <w:rPr>
          <w:rFonts w:ascii="Arial" w:hAnsi="Arial"/>
          <w:b/>
          <w:i w:val="0"/>
          <w:sz w:val="24"/>
        </w:rPr>
        <w:t>[NOMBRE DE LA PERSONA QUEJOSA]</w:t>
      </w:r>
      <w:r>
        <w:rPr>
          <w:rFonts w:ascii="Arial" w:hAnsi="Arial"/>
          <w:b w:val="0"/>
          <w:i w:val="0"/>
          <w:sz w:val="24"/>
        </w:rPr>
        <w:t>: nombre completo de la persona trabajadora o asegurada.</w:t>
      </w:r>
    </w:p>
    <w:p>
      <w:pPr>
        <w:spacing w:line="360" w:lineRule="auto"/>
        <w:jc w:val="both"/>
      </w:pPr>
      <w:r>
        <w:rPr>
          <w:rFonts w:ascii="Arial" w:hAnsi="Arial"/>
          <w:b/>
          <w:i w:val="0"/>
          <w:sz w:val="24"/>
        </w:rPr>
        <w:t>[TRIBUNAL LABORAL O JUNTA RESPONSABLE]</w:t>
      </w:r>
      <w:r>
        <w:rPr>
          <w:rFonts w:ascii="Arial" w:hAnsi="Arial"/>
          <w:b w:val="0"/>
          <w:i w:val="0"/>
          <w:sz w:val="24"/>
        </w:rPr>
        <w:t>: denominación completa del tribunal laboral o de la Junta que dictó la resolución.</w:t>
      </w:r>
    </w:p>
    <w:p>
      <w:pPr>
        <w:spacing w:line="360" w:lineRule="auto"/>
        <w:jc w:val="both"/>
      </w:pPr>
      <w:r>
        <w:rPr>
          <w:rFonts w:ascii="Arial" w:hAnsi="Arial"/>
          <w:b/>
          <w:i w:val="0"/>
          <w:sz w:val="24"/>
        </w:rPr>
        <w:t>[NÚMERO DE EXPEDIENTE LABORAL]</w:t>
      </w:r>
      <w:r>
        <w:rPr>
          <w:rFonts w:ascii="Arial" w:hAnsi="Arial"/>
          <w:b w:val="0"/>
          <w:i w:val="0"/>
          <w:sz w:val="24"/>
        </w:rPr>
        <w:t>: número del juicio de origen.</w:t>
      </w:r>
    </w:p>
    <w:p>
      <w:pPr>
        <w:spacing w:line="360" w:lineRule="auto"/>
        <w:jc w:val="both"/>
      </w:pPr>
      <w:r>
        <w:rPr>
          <w:rFonts w:ascii="Arial" w:hAnsi="Arial"/>
          <w:b/>
          <w:i w:val="0"/>
          <w:sz w:val="24"/>
        </w:rPr>
        <w:t>[FECHA DE LA SENTENCIA O LAUDO RECLAMADO]</w:t>
      </w:r>
      <w:r>
        <w:rPr>
          <w:rFonts w:ascii="Arial" w:hAnsi="Arial"/>
          <w:b w:val="0"/>
          <w:i w:val="0"/>
          <w:sz w:val="24"/>
        </w:rPr>
        <w:t>: fecha de la resolución que se reclama.</w:t>
      </w:r>
    </w:p>
    <w:p>
      <w:pPr>
        <w:spacing w:line="360" w:lineRule="auto"/>
        <w:jc w:val="both"/>
      </w:pPr>
      <w:r>
        <w:rPr>
          <w:rFonts w:ascii="Arial" w:hAnsi="Arial"/>
          <w:b/>
          <w:i w:val="0"/>
          <w:sz w:val="24"/>
        </w:rPr>
        <w:t>[FECHA DE NOTIFICACIÓN DE LA SENTENCIA O LAUDO]</w:t>
      </w:r>
      <w:r>
        <w:rPr>
          <w:rFonts w:ascii="Arial" w:hAnsi="Arial"/>
          <w:b w:val="0"/>
          <w:i w:val="0"/>
          <w:sz w:val="24"/>
        </w:rPr>
        <w:t>: fecha en que te fue notificada, para acreditar la oportunidad.</w:t>
      </w:r>
    </w:p>
    <w:p>
      <w:pPr>
        <w:spacing w:line="360" w:lineRule="auto"/>
        <w:jc w:val="both"/>
      </w:pPr>
      <w:r>
        <w:rPr>
          <w:rFonts w:ascii="Arial" w:hAnsi="Arial"/>
          <w:b/>
          <w:i w:val="0"/>
          <w:sz w:val="24"/>
        </w:rPr>
        <w:t>[CONSIDERANDO Y FOJA DE LA SENTENCIA RECLAMADA]</w:t>
      </w:r>
      <w:r>
        <w:rPr>
          <w:rFonts w:ascii="Arial" w:hAnsi="Arial"/>
          <w:b w:val="0"/>
          <w:i w:val="0"/>
          <w:sz w:val="24"/>
        </w:rPr>
        <w:t>: considerando y foja donde la responsable valoró la hoja y desechó el SIA-Infonavit.</w:t>
      </w:r>
    </w:p>
    <w:p>
      <w:pPr>
        <w:spacing w:line="360" w:lineRule="auto"/>
        <w:jc w:val="both"/>
      </w:pPr>
      <w:r>
        <w:rPr>
          <w:rFonts w:ascii="Arial" w:hAnsi="Arial"/>
          <w:b/>
          <w:i w:val="0"/>
          <w:sz w:val="24"/>
        </w:rPr>
        <w:t>[FECHA DE LA HOJA DE CERTIFICACIÓN DE DERECHOS]</w:t>
      </w:r>
      <w:r>
        <w:rPr>
          <w:rFonts w:ascii="Arial" w:hAnsi="Arial"/>
          <w:b w:val="0"/>
          <w:i w:val="0"/>
          <w:sz w:val="24"/>
        </w:rPr>
        <w:t>: fecha de expedición de la hoja que ofreció el IMSS.</w:t>
      </w:r>
    </w:p>
    <w:p>
      <w:pPr>
        <w:spacing w:line="360" w:lineRule="auto"/>
        <w:jc w:val="both"/>
      </w:pPr>
      <w:r>
        <w:rPr>
          <w:rFonts w:ascii="Arial" w:hAnsi="Arial"/>
          <w:b/>
          <w:i w:val="0"/>
          <w:sz w:val="24"/>
        </w:rPr>
        <w:t>[NÚMERO DE SEMANAS RECONOCIDAS EN LA HOJA DE CERTIFICACIÓN]</w:t>
      </w:r>
      <w:r>
        <w:rPr>
          <w:rFonts w:ascii="Arial" w:hAnsi="Arial"/>
          <w:b w:val="0"/>
          <w:i w:val="0"/>
          <w:sz w:val="24"/>
        </w:rPr>
        <w:t>: total de semanas que la hoja reconoce.</w:t>
      </w:r>
    </w:p>
    <w:p>
      <w:pPr>
        <w:spacing w:line="360" w:lineRule="auto"/>
        <w:jc w:val="both"/>
      </w:pPr>
      <w:r>
        <w:rPr>
          <w:rFonts w:ascii="Arial" w:hAnsi="Arial"/>
          <w:b/>
          <w:i w:val="0"/>
          <w:sz w:val="24"/>
        </w:rPr>
        <w:t>[PERIODO NO RECONOCIDO]</w:t>
      </w:r>
      <w:r>
        <w:rPr>
          <w:rFonts w:ascii="Arial" w:hAnsi="Arial"/>
          <w:b w:val="0"/>
          <w:i w:val="0"/>
          <w:sz w:val="24"/>
        </w:rPr>
        <w:t>: fechas de inicio y fin del lapso que la hoja omite y el SIA-Infonavit documenta.</w:t>
      </w:r>
    </w:p>
    <w:p>
      <w:pPr>
        <w:spacing w:line="360" w:lineRule="auto"/>
        <w:jc w:val="both"/>
      </w:pPr>
      <w:r>
        <w:rPr>
          <w:rFonts w:ascii="Arial" w:hAnsi="Arial"/>
          <w:b/>
          <w:i w:val="0"/>
          <w:sz w:val="24"/>
        </w:rPr>
        <w:t>[NÚMERO DE SEMANAS RECLAMADAS]</w:t>
      </w:r>
      <w:r>
        <w:rPr>
          <w:rFonts w:ascii="Arial" w:hAnsi="Arial"/>
          <w:b w:val="0"/>
          <w:i w:val="0"/>
          <w:sz w:val="24"/>
        </w:rPr>
        <w:t>: semanas que corresponden a ese periodo.</w:t>
      </w:r>
    </w:p>
    <w:p>
      <w:pPr>
        <w:spacing w:line="360" w:lineRule="auto"/>
        <w:jc w:val="both"/>
      </w:pPr>
      <w:r>
        <w:rPr>
          <w:rFonts w:ascii="Arial" w:hAnsi="Arial"/>
          <w:b/>
          <w:i w:val="0"/>
          <w:sz w:val="24"/>
        </w:rPr>
        <w:t>[PATRÓN O PATRONES ASENTADOS EN EL SIA-INFONAVIT]</w:t>
      </w:r>
      <w:r>
        <w:rPr>
          <w:rFonts w:ascii="Arial" w:hAnsi="Arial"/>
          <w:b w:val="0"/>
          <w:i w:val="0"/>
          <w:sz w:val="24"/>
        </w:rPr>
        <w:t>: nombre o razón social de los patrones que aparecen en el reporte para ese periodo.</w:t>
      </w:r>
    </w:p>
    <w:p>
      <w:pPr>
        <w:spacing w:line="360" w:lineRule="auto"/>
        <w:jc w:val="both"/>
      </w:pPr>
      <w:r>
        <w:rPr>
          <w:rFonts w:ascii="Arial" w:hAnsi="Arial"/>
          <w:b/>
          <w:i w:val="0"/>
          <w:sz w:val="24"/>
        </w:rPr>
        <w:t>[FOJA DEL EXPEDIENTE DONDE OBRA EL SIA-INFONAVIT]</w:t>
      </w:r>
      <w:r>
        <w:rPr>
          <w:rFonts w:ascii="Arial" w:hAnsi="Arial"/>
          <w:b w:val="0"/>
          <w:i w:val="0"/>
          <w:sz w:val="24"/>
        </w:rPr>
        <w:t>: foja del expediente laboral donde está el reporte.</w:t>
      </w:r>
    </w:p>
    <w:p>
      <w:pPr>
        <w:spacing w:line="360" w:lineRule="auto"/>
        <w:jc w:val="both"/>
      </w:pPr>
      <w:r>
        <w:rPr>
          <w:rFonts w:ascii="Arial" w:hAnsi="Arial"/>
          <w:b/>
          <w:i w:val="0"/>
          <w:sz w:val="24"/>
        </w:rPr>
        <w:t>[NÚMERO DE SEGURIDAD SOCIAL]</w:t>
      </w:r>
      <w:r>
        <w:rPr>
          <w:rFonts w:ascii="Arial" w:hAnsi="Arial"/>
          <w:b w:val="0"/>
          <w:i w:val="0"/>
          <w:sz w:val="24"/>
        </w:rPr>
        <w:t>: NSS de la persona quejosa.</w:t>
      </w:r>
    </w:p>
    <w:p>
      <w:pPr>
        <w:spacing w:line="360" w:lineRule="auto"/>
        <w:jc w:val="both"/>
      </w:pPr>
      <w:r>
        <w:rPr>
          <w:rFonts w:ascii="Arial" w:hAnsi="Arial"/>
          <w:b/>
          <w:i w:val="0"/>
          <w:sz w:val="24"/>
        </w:rPr>
        <w:t>[PRESTACIÓN RECLAMADA]</w:t>
      </w:r>
      <w:r>
        <w:rPr>
          <w:rFonts w:ascii="Arial" w:hAnsi="Arial"/>
          <w:b w:val="0"/>
          <w:i w:val="0"/>
          <w:sz w:val="24"/>
        </w:rPr>
        <w:t>: la pensión o prestación cuyo acceso o cuantía depende de las semanas (por ejemplo, pensión de cesantía en edad avanzada o de vejez).</w:t>
      </w:r>
    </w:p>
    <w:p/>
    <w:p>
      <w:pPr>
        <w:spacing w:line="360" w:lineRule="auto"/>
        <w:jc w:val="both"/>
      </w:pPr>
      <w:r>
        <w:rPr>
          <w:rFonts w:ascii="Arial" w:hAnsi="Arial"/>
          <w:b/>
          <w:sz w:val="28"/>
        </w:rPr>
        <w:t>[NÚMERO ORDINAL DEL CONCEPTO] CONCEPTO DE VIOLACIÓN. Indebida valoración de la prueba. La autoridad responsable negó eficacia a los periodos asentados en el SIA-Infonavit y tuvo por no desvirtuada la hoja de certificación de derechos del IMSS, en contravención de la jurisprudencia VII.2o.T. J/5 L (12a.) y con violación de los artículos 14, 16 y 123, apartado A, fracción XXIX, de la Constitución Política de los Estados Unidos Mexicanos.</w:t>
      </w:r>
    </w:p>
    <w:p>
      <w:pPr>
        <w:spacing w:line="360" w:lineRule="auto"/>
        <w:jc w:val="both"/>
      </w:pPr>
      <w:r>
        <w:rPr>
          <w:rFonts w:ascii="Arial" w:hAnsi="Arial"/>
          <w:b/>
          <w:sz w:val="28"/>
        </w:rPr>
        <w:t>I. Síntesis del concepto.</w:t>
      </w:r>
    </w:p>
    <w:p>
      <w:pPr>
        <w:spacing w:line="360" w:lineRule="auto"/>
        <w:jc w:val="both"/>
      </w:pPr>
      <w:r>
        <w:rPr>
          <w:rFonts w:ascii="Arial" w:hAnsi="Arial"/>
          <w:b w:val="0"/>
          <w:i w:val="0"/>
          <w:sz w:val="28"/>
        </w:rPr>
        <w:t xml:space="preserve">En este apartado se demostrará que la sentencia dictada por el </w:t>
      </w:r>
      <w:r>
        <w:rPr>
          <w:rFonts w:ascii="Arial" w:hAnsi="Arial"/>
          <w:b/>
          <w:i w:val="0"/>
          <w:sz w:val="28"/>
        </w:rPr>
        <w:t>[TRIBUNAL LABORAL O JUNTA RESPONSABLE]</w:t>
      </w:r>
      <w:r>
        <w:rPr>
          <w:rFonts w:ascii="Arial" w:hAnsi="Arial"/>
          <w:b w:val="0"/>
          <w:i w:val="0"/>
          <w:sz w:val="28"/>
        </w:rPr>
        <w:t xml:space="preserve"> en el expediente </w:t>
      </w:r>
      <w:r>
        <w:rPr>
          <w:rFonts w:ascii="Arial" w:hAnsi="Arial"/>
          <w:b/>
          <w:i w:val="0"/>
          <w:sz w:val="28"/>
        </w:rPr>
        <w:t>[NÚMERO DE EXPEDIENTE LABORAL]</w:t>
      </w:r>
      <w:r>
        <w:rPr>
          <w:rFonts w:ascii="Arial" w:hAnsi="Arial"/>
          <w:b w:val="0"/>
          <w:i w:val="0"/>
          <w:sz w:val="28"/>
        </w:rPr>
        <w:t xml:space="preserve"> valoró indebidamente las pruebas, pues negó eficacia a la información del Sistema Integral de Aportaciones del Instituto del Fondo Nacional de la Vivienda para los Trabajadores (SIA-Infonavit) ofrecida por </w:t>
      </w:r>
      <w:r>
        <w:rPr>
          <w:rFonts w:ascii="Arial" w:hAnsi="Arial"/>
          <w:b/>
          <w:i w:val="0"/>
          <w:sz w:val="28"/>
        </w:rPr>
        <w:t>[NOMBRE DE LA PERSONA QUEJOSA]</w:t>
      </w:r>
      <w:r>
        <w:rPr>
          <w:rFonts w:ascii="Arial" w:hAnsi="Arial"/>
          <w:b w:val="0"/>
          <w:i w:val="0"/>
          <w:sz w:val="28"/>
        </w:rPr>
        <w:t xml:space="preserve">, y tuvo por no desvirtuada la hoja de certificación de derechos expedida por el Instituto Mexicano del Seguro Social respecto del periodo </w:t>
      </w:r>
      <w:r>
        <w:rPr>
          <w:rFonts w:ascii="Arial" w:hAnsi="Arial"/>
          <w:b/>
          <w:i w:val="0"/>
          <w:sz w:val="28"/>
        </w:rPr>
        <w:t>[PERIODO NO RECONOCIDO]</w:t>
      </w:r>
      <w:r>
        <w:rPr>
          <w:rFonts w:ascii="Arial" w:hAnsi="Arial"/>
          <w:b w:val="0"/>
          <w:i w:val="0"/>
          <w:sz w:val="28"/>
        </w:rPr>
        <w:t>.</w:t>
      </w:r>
    </w:p>
    <w:p>
      <w:pPr>
        <w:spacing w:line="360" w:lineRule="auto"/>
        <w:jc w:val="both"/>
      </w:pPr>
      <w:r>
        <w:rPr>
          <w:rFonts w:ascii="Arial" w:hAnsi="Arial"/>
          <w:b w:val="0"/>
          <w:i w:val="0"/>
          <w:sz w:val="28"/>
        </w:rPr>
        <w:t>La demostración descansa en una premisa probatoria sencilla: la hoja de certificación de derechos goza de valor probatorio pleno, pero sólo salvo prueba directa en contrario; y los periodos asentados en el SIA-Infonavit son, precisamente, esa prueba directa en contrario, conforme a la jurisprudencia que aquí se invoca. La responsable invirtió el esquema: convirtió una presunción que admite prueba en contrario en una verdad inatacable y desechó la única prueba idónea para vencerla.</w:t>
      </w:r>
    </w:p>
    <w:p>
      <w:pPr>
        <w:spacing w:line="360" w:lineRule="auto"/>
        <w:jc w:val="both"/>
      </w:pPr>
      <w:r>
        <w:rPr>
          <w:rFonts w:ascii="Arial" w:hAnsi="Arial"/>
          <w:b w:val="0"/>
          <w:i w:val="0"/>
          <w:sz w:val="28"/>
        </w:rPr>
        <w:t xml:space="preserve">Si esa premisa se respeta, la conclusión es inevitable: el periodo no reconocido debe sumarse al tiempo de cotización de la persona quejosa, con las consecuencias que ello tiene sobre </w:t>
      </w:r>
      <w:r>
        <w:rPr>
          <w:rFonts w:ascii="Arial" w:hAnsi="Arial"/>
          <w:b/>
          <w:i w:val="0"/>
          <w:sz w:val="28"/>
        </w:rPr>
        <w:t>[PRESTACIÓN RECLAMADA]</w:t>
      </w:r>
      <w:r>
        <w:rPr>
          <w:rFonts w:ascii="Arial" w:hAnsi="Arial"/>
          <w:b w:val="0"/>
          <w:i w:val="0"/>
          <w:sz w:val="28"/>
        </w:rPr>
        <w:t>, por lo que procede conceder el amparo para que la responsable deje insubsistente la sentencia reclamada y dicte otra en la que valore correctamente la prueba y reconozca las semanas omitidas.</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El acto reclamado es la sentencia de </w:t>
      </w:r>
      <w:r>
        <w:rPr>
          <w:rFonts w:ascii="Arial" w:hAnsi="Arial"/>
          <w:b/>
          <w:i w:val="0"/>
          <w:sz w:val="28"/>
        </w:rPr>
        <w:t>[FECHA DE LA SENTENCIA O LAUDO RECLAMADO]</w:t>
      </w:r>
      <w:r>
        <w:rPr>
          <w:rFonts w:ascii="Arial" w:hAnsi="Arial"/>
          <w:b w:val="0"/>
          <w:i w:val="0"/>
          <w:sz w:val="28"/>
        </w:rPr>
        <w:t xml:space="preserve">, dictada por el </w:t>
      </w:r>
      <w:r>
        <w:rPr>
          <w:rFonts w:ascii="Arial" w:hAnsi="Arial"/>
          <w:b/>
          <w:i w:val="0"/>
          <w:sz w:val="28"/>
        </w:rPr>
        <w:t>[TRIBUNAL LABORAL O JUNTA RESPONSABLE]</w:t>
      </w:r>
      <w:r>
        <w:rPr>
          <w:rFonts w:ascii="Arial" w:hAnsi="Arial"/>
          <w:b w:val="0"/>
          <w:i w:val="0"/>
          <w:sz w:val="28"/>
        </w:rPr>
        <w:t xml:space="preserve"> en el expediente </w:t>
      </w:r>
      <w:r>
        <w:rPr>
          <w:rFonts w:ascii="Arial" w:hAnsi="Arial"/>
          <w:b/>
          <w:i w:val="0"/>
          <w:sz w:val="28"/>
        </w:rPr>
        <w:t>[NÚMERO DE EXPEDIENTE LABORAL]</w:t>
      </w:r>
      <w:r>
        <w:rPr>
          <w:rFonts w:ascii="Arial" w:hAnsi="Arial"/>
          <w:b w:val="0"/>
          <w:i w:val="0"/>
          <w:sz w:val="28"/>
        </w:rPr>
        <w:t xml:space="preserve"> y notificada el </w:t>
      </w:r>
      <w:r>
        <w:rPr>
          <w:rFonts w:ascii="Arial" w:hAnsi="Arial"/>
          <w:b/>
          <w:i w:val="0"/>
          <w:sz w:val="28"/>
        </w:rPr>
        <w:t>[FECHA DE NOTIFICACIÓN DE LA SENTENCIA O LAUDO]</w:t>
      </w:r>
      <w:r>
        <w:rPr>
          <w:rFonts w:ascii="Arial" w:hAnsi="Arial"/>
          <w:b w:val="0"/>
          <w:i w:val="0"/>
          <w:sz w:val="28"/>
        </w:rPr>
        <w:t xml:space="preserve">. En su </w:t>
      </w:r>
      <w:r>
        <w:rPr>
          <w:rFonts w:ascii="Arial" w:hAnsi="Arial"/>
          <w:b/>
          <w:i w:val="0"/>
          <w:sz w:val="28"/>
        </w:rPr>
        <w:t>[CONSIDERANDO Y FOJA DE LA SENTENCIA RECLAMADA]</w:t>
      </w:r>
      <w:r>
        <w:rPr>
          <w:rFonts w:ascii="Arial" w:hAnsi="Arial"/>
          <w:b w:val="0"/>
          <w:i w:val="0"/>
          <w:sz w:val="28"/>
        </w:rPr>
        <w:t xml:space="preserve"> la responsable tuvo por acreditado únicamente el tiempo de cotización que aparece en la hoja de certificación de derechos de </w:t>
      </w:r>
      <w:r>
        <w:rPr>
          <w:rFonts w:ascii="Arial" w:hAnsi="Arial"/>
          <w:b/>
          <w:i w:val="0"/>
          <w:sz w:val="28"/>
        </w:rPr>
        <w:t>[FECHA DE LA HOJA DE CERTIFICACIÓN DE DERECHOS]</w:t>
      </w:r>
      <w:r>
        <w:rPr>
          <w:rFonts w:ascii="Arial" w:hAnsi="Arial"/>
          <w:b w:val="0"/>
          <w:i w:val="0"/>
          <w:sz w:val="28"/>
        </w:rPr>
        <w:t xml:space="preserve">, es decir, </w:t>
      </w:r>
      <w:r>
        <w:rPr>
          <w:rFonts w:ascii="Arial" w:hAnsi="Arial"/>
          <w:b/>
          <w:i w:val="0"/>
          <w:sz w:val="28"/>
        </w:rPr>
        <w:t>[NÚMERO DE SEMANAS RECONOCIDAS EN LA HOJA DE CERTIFICACIÓN]</w:t>
      </w:r>
      <w:r>
        <w:rPr>
          <w:rFonts w:ascii="Arial" w:hAnsi="Arial"/>
          <w:b w:val="0"/>
          <w:i w:val="0"/>
          <w:sz w:val="28"/>
        </w:rPr>
        <w:t xml:space="preserve"> semanas, y absolvió al Instituto de reconocer el periodo </w:t>
      </w:r>
      <w:r>
        <w:rPr>
          <w:rFonts w:ascii="Arial" w:hAnsi="Arial"/>
          <w:b/>
          <w:i w:val="0"/>
          <w:sz w:val="28"/>
        </w:rPr>
        <w:t>[PERIODO NO RECONOCIDO]</w:t>
      </w:r>
      <w:r>
        <w:rPr>
          <w:rFonts w:ascii="Arial" w:hAnsi="Arial"/>
          <w:b w:val="0"/>
          <w:i w:val="0"/>
          <w:sz w:val="28"/>
        </w:rPr>
        <w:t>.</w:t>
      </w:r>
    </w:p>
    <w:p>
      <w:pPr>
        <w:spacing w:line="360" w:lineRule="auto"/>
        <w:jc w:val="both"/>
      </w:pPr>
      <w:r>
        <w:rPr>
          <w:rFonts w:ascii="Arial" w:hAnsi="Arial"/>
          <w:b w:val="0"/>
          <w:i w:val="0"/>
          <w:sz w:val="28"/>
        </w:rPr>
        <w:t>Procede el amparo directo porque se reclama una resolución definitiva dictada por un tribunal del trabajo, en términos del artículo 170, fracción I, de la Ley de Amparo. Además, tratándose de la persona trabajadora, opera la suplencia de la queja deficiente prevista en el artículo 79, fracción V, del mismo ordenamiento, sin perjuicio de que este concepto se formule de manera completa y autosuficiente.</w:t>
      </w:r>
    </w:p>
    <w:p>
      <w:pPr>
        <w:spacing w:line="360" w:lineRule="auto"/>
        <w:jc w:val="both"/>
      </w:pPr>
      <w:r>
        <w:rPr>
          <w:rFonts w:ascii="Arial" w:hAnsi="Arial"/>
          <w:b w:val="0"/>
          <w:i w:val="0"/>
          <w:sz w:val="28"/>
        </w:rPr>
        <w:t>Las normas cuya inobservancia se plantea son los artículos 14, segundo párrafo, y 16, primer párrafo, de la Constitución Política de los Estados Unidos Mexicanos, en cuanto exigen que toda resolución se funde y motive conforme a las leyes aplicables y respete las formalidades esenciales del procedimiento, entre ellas la correcta valoración de las pruebas.</w:t>
      </w:r>
    </w:p>
    <w:p>
      <w:pPr>
        <w:spacing w:line="360" w:lineRule="auto"/>
        <w:jc w:val="both"/>
      </w:pPr>
      <w:r>
        <w:rPr>
          <w:rFonts w:ascii="Arial" w:hAnsi="Arial"/>
          <w:b w:val="0"/>
          <w:i w:val="0"/>
          <w:sz w:val="28"/>
        </w:rPr>
        <w:t>Se vulneran también el artículo 123, apartado A, fracción XXIX, constitucional, que reconoce el derecho a la seguridad social, y el artículo 18 de la Ley del Seguro Social, que faculta a la persona asegurada a solicitar el reconocimiento de la relación laboral para efectos de seguridad social, ofreciendo las pruebas que acrediten su pretensión.</w:t>
      </w:r>
    </w:p>
    <w:p>
      <w:pPr>
        <w:spacing w:line="360" w:lineRule="auto"/>
        <w:jc w:val="both"/>
      </w:pPr>
      <w:r>
        <w:rPr>
          <w:rFonts w:ascii="Arial" w:hAnsi="Arial"/>
          <w:b w:val="0"/>
          <w:i w:val="0"/>
          <w:sz w:val="28"/>
        </w:rPr>
        <w:t xml:space="preserve">El perjuicio es concreto y de fondo. Al desconocerse </w:t>
      </w:r>
      <w:r>
        <w:rPr>
          <w:rFonts w:ascii="Arial" w:hAnsi="Arial"/>
          <w:b/>
          <w:i w:val="0"/>
          <w:sz w:val="28"/>
        </w:rPr>
        <w:t>[NÚMERO DE SEMANAS RECLAMADAS]</w:t>
      </w:r>
      <w:r>
        <w:rPr>
          <w:rFonts w:ascii="Arial" w:hAnsi="Arial"/>
          <w:b w:val="0"/>
          <w:i w:val="0"/>
          <w:sz w:val="28"/>
        </w:rPr>
        <w:t xml:space="preserve"> semanas efectivamente cotizadas, la persona quejosa ve reducido el tiempo que determina </w:t>
      </w:r>
      <w:r>
        <w:rPr>
          <w:rFonts w:ascii="Arial" w:hAnsi="Arial"/>
          <w:b/>
          <w:i w:val="0"/>
          <w:sz w:val="28"/>
        </w:rPr>
        <w:t>[PRESTACIÓN RECLAMADA]</w:t>
      </w:r>
      <w:r>
        <w:rPr>
          <w:rFonts w:ascii="Arial" w:hAnsi="Arial"/>
          <w:b w:val="0"/>
          <w:i w:val="0"/>
          <w:sz w:val="28"/>
        </w:rPr>
        <w:t>, sea el acceso mismo a la pensión, su cuantía o la conservación de derechos. No se trata de un vicio formal subsanable con una nueva motivación, sino de un error en la apreciación de la prueba que afecta directamente el patrimonio y el derecho humano a la seguridad social de quien cotizó.</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Conviene partir de la naturaleza de la hoja de certificación de derechos. Se trata de un documento expedido por el propio Instituto en el que éste asienta, con base en sus registros internos, las semanas que reconoce a una persona asegurada. Su valor probatorio es pleno, pero no absoluto: opera como una presunción que admite prueba en contrario. La doctrina explica que las presunciones iuris tantum son reglas de juicio que indican al juzgador cuál debe ser el contenido de su decisión cuando carece de pruebas suficientes para formar convicción; por definición, ceden cuando esas pruebas existen.</w:t>
      </w:r>
      <w:r>
        <w:rPr>
          <w:rFonts w:ascii="Arial" w:hAnsi="Arial"/>
          <w:vertAlign w:val="superscript"/>
        </w:rPr>
        <w:t>1</w:t>
      </w:r>
    </w:p>
    <w:p>
      <w:pPr>
        <w:spacing w:line="360" w:lineRule="auto"/>
        <w:jc w:val="both"/>
      </w:pPr>
      <w:r>
        <w:rPr>
          <w:rFonts w:ascii="Arial" w:hAnsi="Arial"/>
          <w:b w:val="0"/>
          <w:i w:val="0"/>
          <w:sz w:val="28"/>
        </w:rPr>
        <w:t>La pregunta decisiva, por tanto, no es si la hoja de certificación vale, sino qué prueba es apta para vencerla. La respuesta la ha fijado la jurisprudencia VII.2o.T. J/5 L (12a.), sustentada por el Segundo Tribunal Colegiado en Materia de Trabajo del Séptimo Circuito (instancia: Tribunales Colegiados de Circuito), publicada en el Semanario Judicial de la Federación el viernes 28 de agosto de 2026 y de aplicación obligatoria a partir del lunes 31 de agosto de 2026, con registro digital 2032568.</w:t>
      </w:r>
    </w:p>
    <w:p>
      <w:pPr>
        <w:spacing w:line="360" w:lineRule="auto"/>
        <w:jc w:val="both"/>
      </w:pPr>
      <w:r>
        <w:rPr>
          <w:rFonts w:ascii="Arial" w:hAnsi="Arial"/>
          <w:b w:val="0"/>
          <w:i w:val="0"/>
          <w:sz w:val="28"/>
        </w:rPr>
        <w:t>Conforme al artículo 217 de la Ley de Amparo, esa jurisprudencia vincula a todas las autoridades jurisdiccionales del Séptimo Circuito, entre ellas sus tribunales laborales, y constituye para los demás órganos un criterio que resolvió con precisión el mismo problema probatorio y que no puede desatenderse sin razones.</w:t>
      </w:r>
    </w:p>
    <w:p>
      <w:pPr>
        <w:spacing w:line="360" w:lineRule="auto"/>
        <w:jc w:val="both"/>
      </w:pPr>
      <w:r>
        <w:rPr>
          <w:rFonts w:ascii="Arial" w:hAnsi="Arial"/>
          <w:b w:val="0"/>
          <w:i w:val="0"/>
          <w:sz w:val="28"/>
        </w:rPr>
        <w:t xml:space="preserve">Su rubro es el siguiente: </w:t>
      </w:r>
      <w:r>
        <w:rPr>
          <w:rFonts w:ascii="Arial" w:hAnsi="Arial"/>
          <w:b w:val="0"/>
          <w:i/>
          <w:sz w:val="28"/>
        </w:rPr>
        <w:t>«PERIODOS ASENTADOS EN EL SISTEMA INTEGRAL DE APORTACIONES DEL INSTITUTO DEL FONDO NACIONAL DE LA VIVIENDA PARA LOS TRABAJADORES (SIA-INFONAVIT). CONSTITUYEN PRUEBA DIRECTA EN CONTRARIO QUE DESVIRTÚA LA HOJA DE CERTIFICACIÓN DE DERECHOS EXPEDIDA POR EL INSTITUTO MEXICANO DEL SEGURO SOCIAL (IMSS), RESPECTO DEL TIEMPO DE COTIZACIÓN NO RECONOCIDO POR ÉSTE.»</w:t>
      </w:r>
    </w:p>
    <w:p>
      <w:pPr>
        <w:spacing w:line="360" w:lineRule="auto"/>
        <w:jc w:val="both"/>
      </w:pPr>
      <w:r>
        <w:rPr>
          <w:rFonts w:ascii="Arial" w:hAnsi="Arial"/>
          <w:b w:val="0"/>
          <w:i w:val="0"/>
          <w:sz w:val="28"/>
        </w:rPr>
        <w:t xml:space="preserve">Su criterio jurídico se enuncia así: </w:t>
      </w:r>
      <w:r>
        <w:rPr>
          <w:rFonts w:ascii="Arial" w:hAnsi="Arial"/>
          <w:b w:val="0"/>
          <w:i/>
          <w:sz w:val="28"/>
        </w:rPr>
        <w:t>«Los periodos asentados en el SIA-Infonavit constituyen prueba directa en contrario que desvirtúa la hoja de certificación de derechos expedida por el IMSS, respecto del tiempo de cotización no reconocido por éste.»</w:t>
      </w:r>
    </w:p>
    <w:p>
      <w:pPr>
        <w:spacing w:line="360" w:lineRule="auto"/>
        <w:jc w:val="both"/>
      </w:pPr>
      <w:r>
        <w:rPr>
          <w:rFonts w:ascii="Arial" w:hAnsi="Arial"/>
          <w:b w:val="0"/>
          <w:i w:val="0"/>
          <w:sz w:val="28"/>
        </w:rPr>
        <w:t xml:space="preserve">Y en su justificación el tribunal precisa la consecuencia práctica: </w:t>
      </w:r>
      <w:r>
        <w:rPr>
          <w:rFonts w:ascii="Arial" w:hAnsi="Arial"/>
          <w:b w:val="0"/>
          <w:i/>
          <w:sz w:val="28"/>
        </w:rPr>
        <w:t>«si ofrece información extraída del SIA-Infonavit en la que consta que cotizó periodos no asentados en la hoja de certificación de derechos expedida por el IMSS, ello constituye una prueba directa en contrario que la desvirtúa parcialmente y que trae como consecuencia el reconocimiento de ese tiempo de cotización.»</w:t>
      </w:r>
    </w:p>
    <w:p>
      <w:pPr>
        <w:spacing w:line="360" w:lineRule="auto"/>
        <w:jc w:val="both"/>
      </w:pPr>
      <w:r>
        <w:rPr>
          <w:rFonts w:ascii="Arial" w:hAnsi="Arial"/>
          <w:b w:val="0"/>
          <w:i w:val="0"/>
          <w:sz w:val="28"/>
        </w:rPr>
        <w:t>La jurisprudencia recoge además dos puntos que cierran el círculo. Primero, que la hoja de certificación tiene pleno valor probatorio salvo prueba directa en contrario, y que quien alega haber cotizado un periodo distinto debe ofrecer pruebas indubitables. Segundo, que el artículo 18 de la Ley del Seguro Social otorga a la persona asegurada el derecho a pedir el reconocimiento de la relación laboral para efectos de seguridad social, ofreciendo las pruebas que acrediten su pretensión. El SIA-Infonavit satisface ambas exigencias: es una prueba directa y es una prueba indubitable.</w:t>
      </w:r>
    </w:p>
    <w:p>
      <w:pPr>
        <w:spacing w:line="360" w:lineRule="auto"/>
        <w:jc w:val="both"/>
      </w:pPr>
      <w:r>
        <w:rPr>
          <w:rFonts w:ascii="Arial" w:hAnsi="Arial"/>
          <w:b w:val="0"/>
          <w:i w:val="0"/>
          <w:sz w:val="28"/>
        </w:rPr>
        <w:t>La razón de esa aptitud probatoria es fácil de advertir. El SIA-Infonavit no es un dicho de la persona trabajadora ni un documento elaborado por ella, sino el registro oficial de un organismo público distinto del demandado, en el que constan los patrones que enteraron aportaciones de vivienda a su nombre y los periodos en que lo hicieron. Esa información nace de la misma relación laboral que genera la cotización ante el Instituto y no está bajo el control de la parte que expide la hoja de certificación, de modo que constituye un dato externo, objetivo y contrastable.</w:t>
      </w:r>
    </w:p>
    <w:p>
      <w:pPr>
        <w:spacing w:line="360" w:lineRule="auto"/>
        <w:jc w:val="both"/>
      </w:pPr>
      <w:r>
        <w:rPr>
          <w:rFonts w:ascii="Arial" w:hAnsi="Arial"/>
          <w:b w:val="0"/>
          <w:i w:val="0"/>
          <w:sz w:val="28"/>
        </w:rPr>
        <w:t>A ello se suma la regla procesal elemental de que cada parte debe probar los hechos de los que pretende deducir sus derechos o defensas. La persona quejosa cumplió esa carga con la prueba que la jurisprudencia califica de directa; corresponde entonces al juzgador extraer de ella la consecuencia jurídica que la propia jurisprudencia le asigna, y no exigir una prueba adicional que la ley no contempla.</w:t>
      </w:r>
    </w:p>
    <w:p>
      <w:pPr>
        <w:spacing w:line="360" w:lineRule="auto"/>
        <w:jc w:val="both"/>
      </w:pPr>
      <w:r>
        <w:rPr>
          <w:rFonts w:ascii="Arial" w:hAnsi="Arial"/>
          <w:b w:val="0"/>
          <w:i w:val="0"/>
          <w:sz w:val="28"/>
        </w:rPr>
        <w:t>Esa operación no es discrecional. La doctrina de la argumentación jurídica advierte que el juzgador es libre en la apreciación de la prueba frente al legislador, pero no lo es para operar al margen de lo sucedido en el juicio ni de espaldas a los criterios habituales del operar racional; motivar la decisión sobre los hechos exige justificar de manera específica por qué se elige una hipótesis y se descarta la otra.</w:t>
      </w:r>
      <w:r>
        <w:rPr>
          <w:rFonts w:ascii="Arial" w:hAnsi="Arial"/>
          <w:vertAlign w:val="superscript"/>
        </w:rPr>
        <w:t>2</w:t>
      </w:r>
      <w:r>
        <w:rPr>
          <w:rFonts w:ascii="Arial" w:hAnsi="Arial"/>
          <w:b w:val="0"/>
          <w:i w:val="0"/>
          <w:sz w:val="28"/>
        </w:rPr>
        <w:t xml:space="preserve"> Cuando una jurisprudencia ya asigna valor a una prueba, esa justificación tiene un contenido mínimo ineludible: aplicarla si vincula al órgano y, en todo caso, hacerse cargo de ella con razones.</w:t>
      </w:r>
    </w:p>
    <w:p>
      <w:pPr>
        <w:spacing w:line="360" w:lineRule="auto"/>
        <w:jc w:val="both"/>
      </w:pPr>
      <w:r>
        <w:rPr>
          <w:rFonts w:ascii="Arial" w:hAnsi="Arial"/>
          <w:b w:val="0"/>
          <w:i w:val="0"/>
          <w:sz w:val="28"/>
        </w:rPr>
        <w:t>La motivación del juicio de hecho cumple, además, una función de garantía. Como se ha explicado desde la teoría de la motivación de la sentencia, ella es el instrumento de control que impide que la discrecionalidad del juzgador degenere en arbitrio, y esa función vale con mayor razón para la valoración de las pruebas.</w:t>
      </w:r>
      <w:r>
        <w:rPr>
          <w:rFonts w:ascii="Arial" w:hAnsi="Arial"/>
          <w:vertAlign w:val="superscript"/>
        </w:rPr>
        <w:t>3</w:t>
      </w:r>
      <w:r>
        <w:rPr>
          <w:rFonts w:ascii="Arial" w:hAnsi="Arial"/>
          <w:b w:val="0"/>
          <w:i w:val="0"/>
          <w:sz w:val="28"/>
        </w:rPr>
        <w:t xml:space="preserve"> Una sentencia que reconoce valor pleno a la hoja de certificación y, al mismo tiempo, calla o desecha sin razón la prueba directa que la contradice no motiva: decide.</w:t>
      </w:r>
    </w:p>
    <w:p>
      <w:pPr>
        <w:spacing w:line="360" w:lineRule="auto"/>
        <w:jc w:val="both"/>
      </w:pPr>
      <w:r>
        <w:rPr>
          <w:rFonts w:ascii="Arial" w:hAnsi="Arial"/>
          <w:b w:val="0"/>
          <w:i w:val="0"/>
          <w:sz w:val="28"/>
        </w:rPr>
        <w:t>Por último, cuando concurren dos hipótesis sobre un mismo hecho, la decisión racional es la que prefiere la hipótesis con mayor respaldo probatorio y explica por qué descarta la otra. Frente a una hoja de certificación que omite un periodo y un registro oficial de Infonavit que lo documenta con patrón y fechas, la hipótesis de que la persona sí cotizó es la que cuenta con respaldo directo; la contraria sólo se apoya en el silencio de un registro incompleto.</w:t>
      </w:r>
    </w:p>
    <w:p>
      <w:pPr>
        <w:spacing w:line="360" w:lineRule="auto"/>
        <w:jc w:val="both"/>
      </w:pPr>
      <w:r>
        <w:rPr>
          <w:rFonts w:ascii="Arial" w:hAnsi="Arial"/>
          <w:b/>
          <w:sz w:val="28"/>
        </w:rPr>
        <w:t>IV. Aplicación al caso concreto y refutación de la motivación de la responsable.</w:t>
      </w:r>
    </w:p>
    <w:p>
      <w:pPr>
        <w:spacing w:line="360" w:lineRule="auto"/>
        <w:jc w:val="both"/>
      </w:pPr>
      <w:r>
        <w:rPr>
          <w:rFonts w:ascii="Arial" w:hAnsi="Arial"/>
          <w:b w:val="0"/>
          <w:i w:val="0"/>
          <w:sz w:val="28"/>
        </w:rPr>
        <w:t xml:space="preserve">Los hechos del expediente encuadran con exactitud en la premisa expuesta. La persona quejosa, con número de seguridad social </w:t>
      </w:r>
      <w:r>
        <w:rPr>
          <w:rFonts w:ascii="Arial" w:hAnsi="Arial"/>
          <w:b/>
          <w:i w:val="0"/>
          <w:sz w:val="28"/>
        </w:rPr>
        <w:t>[NÚMERO DE SEGURIDAD SOCIAL]</w:t>
      </w:r>
      <w:r>
        <w:rPr>
          <w:rFonts w:ascii="Arial" w:hAnsi="Arial"/>
          <w:b w:val="0"/>
          <w:i w:val="0"/>
          <w:sz w:val="28"/>
        </w:rPr>
        <w:t xml:space="preserve">, reclamó del Instituto el reconocimiento de </w:t>
      </w:r>
      <w:r>
        <w:rPr>
          <w:rFonts w:ascii="Arial" w:hAnsi="Arial"/>
          <w:b/>
          <w:i w:val="0"/>
          <w:sz w:val="28"/>
        </w:rPr>
        <w:t>[NÚMERO DE SEMANAS RECLAMADAS]</w:t>
      </w:r>
      <w:r>
        <w:rPr>
          <w:rFonts w:ascii="Arial" w:hAnsi="Arial"/>
          <w:b w:val="0"/>
          <w:i w:val="0"/>
          <w:sz w:val="28"/>
        </w:rPr>
        <w:t xml:space="preserve"> semanas correspondientes al periodo </w:t>
      </w:r>
      <w:r>
        <w:rPr>
          <w:rFonts w:ascii="Arial" w:hAnsi="Arial"/>
          <w:b/>
          <w:i w:val="0"/>
          <w:sz w:val="28"/>
        </w:rPr>
        <w:t>[PERIODO NO RECONOCIDO]</w:t>
      </w:r>
      <w:r>
        <w:rPr>
          <w:rFonts w:ascii="Arial" w:hAnsi="Arial"/>
          <w:b w:val="0"/>
          <w:i w:val="0"/>
          <w:sz w:val="28"/>
        </w:rPr>
        <w:t xml:space="preserve">, y para acreditarlo ofreció el reporte del SIA-Infonavit que obra a </w:t>
      </w:r>
      <w:r>
        <w:rPr>
          <w:rFonts w:ascii="Arial" w:hAnsi="Arial"/>
          <w:b/>
          <w:i w:val="0"/>
          <w:sz w:val="28"/>
        </w:rPr>
        <w:t>[FOJA DEL EXPEDIENTE DONDE OBRA EL SIA-INFONAVIT]</w:t>
      </w:r>
      <w:r>
        <w:rPr>
          <w:rFonts w:ascii="Arial" w:hAnsi="Arial"/>
          <w:b w:val="0"/>
          <w:i w:val="0"/>
          <w:sz w:val="28"/>
        </w:rPr>
        <w:t xml:space="preserve">, en el que constan las aportaciones enteradas a su nombre por </w:t>
      </w:r>
      <w:r>
        <w:rPr>
          <w:rFonts w:ascii="Arial" w:hAnsi="Arial"/>
          <w:b/>
          <w:i w:val="0"/>
          <w:sz w:val="28"/>
        </w:rPr>
        <w:t>[PATRÓN O PATRONES ASENTADOS EN EL SIA-INFONAVIT]</w:t>
      </w:r>
      <w:r>
        <w:rPr>
          <w:rFonts w:ascii="Arial" w:hAnsi="Arial"/>
          <w:b w:val="0"/>
          <w:i w:val="0"/>
          <w:sz w:val="28"/>
        </w:rPr>
        <w:t xml:space="preserve"> durante ese lapso.</w:t>
      </w:r>
    </w:p>
    <w:p>
      <w:pPr>
        <w:spacing w:line="360" w:lineRule="auto"/>
        <w:jc w:val="both"/>
      </w:pPr>
      <w:r>
        <w:rPr>
          <w:rFonts w:ascii="Arial" w:hAnsi="Arial"/>
          <w:b w:val="0"/>
          <w:i w:val="0"/>
          <w:sz w:val="28"/>
        </w:rPr>
        <w:t xml:space="preserve">Ese periodo no aparece en la hoja de certificación de derechos de </w:t>
      </w:r>
      <w:r>
        <w:rPr>
          <w:rFonts w:ascii="Arial" w:hAnsi="Arial"/>
          <w:b/>
          <w:i w:val="0"/>
          <w:sz w:val="28"/>
        </w:rPr>
        <w:t>[FECHA DE LA HOJA DE CERTIFICACIÓN DE DERECHOS]</w:t>
      </w:r>
      <w:r>
        <w:rPr>
          <w:rFonts w:ascii="Arial" w:hAnsi="Arial"/>
          <w:b w:val="0"/>
          <w:i w:val="0"/>
          <w:sz w:val="28"/>
        </w:rPr>
        <w:t xml:space="preserve"> ofrecida por el Instituto, que sólo reconoce </w:t>
      </w:r>
      <w:r>
        <w:rPr>
          <w:rFonts w:ascii="Arial" w:hAnsi="Arial"/>
          <w:b/>
          <w:i w:val="0"/>
          <w:sz w:val="28"/>
        </w:rPr>
        <w:t>[NÚMERO DE SEMANAS RECONOCIDAS EN LA HOJA DE CERTIFICACIÓN]</w:t>
      </w:r>
      <w:r>
        <w:rPr>
          <w:rFonts w:ascii="Arial" w:hAnsi="Arial"/>
          <w:b w:val="0"/>
          <w:i w:val="0"/>
          <w:sz w:val="28"/>
        </w:rPr>
        <w:t xml:space="preserve"> semanas. Se trata, entonces, de la hipótesis exacta de la jurisprudencia: una hoja de certificación que omite un tiempo de cotización y un registro del SIA-Infonavit en el que consta que ese tiempo sí se cotizó. La subsunción es directa y la consecuencia también: la hoja quedó desvirtuada parcialmente y el periodo debe reconocerse.</w:t>
      </w:r>
    </w:p>
    <w:p>
      <w:pPr>
        <w:spacing w:line="360" w:lineRule="auto"/>
        <w:jc w:val="both"/>
      </w:pPr>
      <w:r>
        <w:rPr>
          <w:rFonts w:ascii="Arial" w:hAnsi="Arial"/>
          <w:b w:val="0"/>
          <w:i w:val="0"/>
          <w:sz w:val="28"/>
        </w:rPr>
        <w:t xml:space="preserve">Sin embargo, en el </w:t>
      </w:r>
      <w:r>
        <w:rPr>
          <w:rFonts w:ascii="Arial" w:hAnsi="Arial"/>
          <w:b/>
          <w:i w:val="0"/>
          <w:sz w:val="28"/>
        </w:rPr>
        <w:t>[CONSIDERANDO Y FOJA DE LA SENTENCIA RECLAMADA]</w:t>
      </w:r>
      <w:r>
        <w:rPr>
          <w:rFonts w:ascii="Arial" w:hAnsi="Arial"/>
          <w:b w:val="0"/>
          <w:i w:val="0"/>
          <w:sz w:val="28"/>
        </w:rPr>
        <w:t xml:space="preserve"> la responsable sostuvo, en esencia, que la hoja de certificación de derechos tiene pleno valor probatorio por provenir de la institución que administra los registros de aseguramiento, y que la información del SIA-Infonavit proviene de un organismo distinto, se refiere a aportaciones de vivienda y no a cotizaciones ante el Instituto, de modo que a lo sumo constituye un indicio insuficiente para desvirtuarla. Ese razonamiento es lógicamente inválido por varias razones.</w:t>
      </w:r>
    </w:p>
    <w:p>
      <w:pPr>
        <w:spacing w:line="360" w:lineRule="auto"/>
        <w:jc w:val="both"/>
      </w:pPr>
      <w:r>
        <w:rPr>
          <w:rFonts w:ascii="Arial" w:hAnsi="Arial"/>
          <w:b w:val="0"/>
          <w:i w:val="0"/>
          <w:sz w:val="28"/>
        </w:rPr>
        <w:t>En primer lugar, incurre en petición de principio, la falacia que consiste en demostrar por sí mismo lo que no está claro ni es conocido por sí mismo, esto es, en no demostrar.</w:t>
      </w:r>
      <w:r>
        <w:rPr>
          <w:rFonts w:ascii="Arial" w:hAnsi="Arial"/>
          <w:vertAlign w:val="superscript"/>
        </w:rPr>
        <w:t>4</w:t>
      </w:r>
      <w:r>
        <w:rPr>
          <w:rFonts w:ascii="Arial" w:hAnsi="Arial"/>
          <w:b w:val="0"/>
          <w:i w:val="0"/>
          <w:sz w:val="28"/>
        </w:rPr>
        <w:t xml:space="preserve"> La litis consistía en determinar si la hoja de certificación es completa; la responsable la dio por completa porque la expidió el Instituto y, desde esa premisa, concluyó que nada puede contradecirla. La conclusión estaba contenida en la premisa: la hoja es exacta porque es la hoja. Con ese método ninguna prueba en contrario sería jamás suficiente, lo que equivale a suprimir la salvedad que la propia jurisprudencia reconoce.</w:t>
      </w:r>
    </w:p>
    <w:p>
      <w:pPr>
        <w:spacing w:line="360" w:lineRule="auto"/>
        <w:jc w:val="both"/>
      </w:pPr>
      <w:r>
        <w:rPr>
          <w:rFonts w:ascii="Arial" w:hAnsi="Arial"/>
          <w:b w:val="0"/>
          <w:i w:val="0"/>
          <w:sz w:val="28"/>
        </w:rPr>
        <w:t>En segundo lugar, el razonamiento descansa en un argumento de autoridad indebido. La doctrina describe esa falacia como aquella en que se afirma que quien sostiene una tesis posee cierta autoridad y de ahí se concluye que la tesis es verdadera o que merece más crédito que su negación.</w:t>
      </w:r>
      <w:r>
        <w:rPr>
          <w:rFonts w:ascii="Arial" w:hAnsi="Arial"/>
          <w:vertAlign w:val="superscript"/>
        </w:rPr>
        <w:t>5</w:t>
      </w:r>
      <w:r>
        <w:rPr>
          <w:rFonts w:ascii="Arial" w:hAnsi="Arial"/>
          <w:b w:val="0"/>
          <w:i w:val="0"/>
          <w:sz w:val="28"/>
        </w:rPr>
        <w:t xml:space="preserve"> Aquí la autoridad invocada es el propio Instituto, parte demandada en el juicio, cuyo registro es exactamente lo que se discute. Otorgar crédito absoluto a la afirmación de una parte sobre el hecho controvertido, por la sola razón de quién la emite, no es valorar una prueba: es abdicar de la función de valorarla.</w:t>
      </w:r>
    </w:p>
    <w:p>
      <w:pPr>
        <w:spacing w:line="360" w:lineRule="auto"/>
        <w:jc w:val="both"/>
      </w:pPr>
      <w:r>
        <w:rPr>
          <w:rFonts w:ascii="Arial" w:hAnsi="Arial"/>
          <w:b w:val="0"/>
          <w:i w:val="0"/>
          <w:sz w:val="28"/>
        </w:rPr>
        <w:t>En tercer lugar, la objeción de que el SIA-Infonavit documenta aportaciones de vivienda y no cotizaciones ante el Instituto es un non sequitur. Del hecho cierto de que se trate de registros de organismos distintos no se sigue que el segundo sea ajeno a la relación laboral que genera ambos.</w:t>
      </w:r>
    </w:p>
    <w:p>
      <w:pPr>
        <w:spacing w:line="360" w:lineRule="auto"/>
        <w:jc w:val="both"/>
      </w:pPr>
      <w:r>
        <w:rPr>
          <w:rFonts w:ascii="Arial" w:hAnsi="Arial"/>
          <w:b w:val="0"/>
          <w:i w:val="0"/>
          <w:sz w:val="28"/>
        </w:rPr>
        <w:t>Por el contrario, la jurisprudencia invocada calificó ese registro, precisamente por su origen, como prueba directa en contrario, y la responsable no podía degradarlo a mero indicio sin desconocer un criterio que la vincula en términos del artículo 217 de la Ley de Amparo si pertenece al Séptimo Circuito y que, en cualquier caso, resolvió el punto exacto que aquí se discute.</w:t>
      </w:r>
    </w:p>
    <w:p>
      <w:pPr>
        <w:spacing w:line="360" w:lineRule="auto"/>
        <w:jc w:val="both"/>
      </w:pPr>
      <w:r>
        <w:rPr>
          <w:rFonts w:ascii="Arial" w:hAnsi="Arial"/>
          <w:b w:val="0"/>
          <w:i w:val="0"/>
          <w:sz w:val="28"/>
        </w:rPr>
        <w:t>En cuarto lugar, la sentencia reclamada traslada a la persona quejosa una consecuencia que la propia jurisprudencia coloca en otro lugar. Si los patrones asentados en el SIA-Infonavit omitieron cumplir con sus obligaciones ante el Instituto, éste conserva sus facultades para exigirles el cumplimiento, como la jurisprudencia expresamente reconoce; lo que no puede ocurrir es que la omisión patronal se resuelva en perjuicio de quien trabajó y cotizó. Hacer cargar a la persona trabajadora con la incobrabilidad de cuotas ajenas invierte la lógica protectora del artículo 123 constitucional.</w:t>
      </w:r>
    </w:p>
    <w:p>
      <w:pPr>
        <w:spacing w:line="360" w:lineRule="auto"/>
        <w:jc w:val="both"/>
      </w:pPr>
      <w:r>
        <w:rPr>
          <w:rFonts w:ascii="Arial" w:hAnsi="Arial"/>
          <w:b w:val="0"/>
          <w:i w:val="0"/>
          <w:sz w:val="28"/>
        </w:rPr>
        <w:t>Tampoco podría sostenerse la sentencia bajo el argumento de que la persona quejosa debió aportar pruebas adicionales, como recibos de nómina o constancias patronales. Ese razonamiento cae en la falacia ad ignorantiam, pues pretende tener por no probado un hecho por la ausencia de pruebas distintas de la que sí se ofreció, cuando la doctrina recuerda que en los tribunales quien afirma debe probar y quien rechaza no está obligado a demostrar más allá de lo que la carga procesal le impone.</w:t>
      </w:r>
      <w:r>
        <w:rPr>
          <w:rFonts w:ascii="Arial" w:hAnsi="Arial"/>
          <w:vertAlign w:val="superscript"/>
        </w:rPr>
        <w:t>6</w:t>
      </w:r>
      <w:r>
        <w:rPr>
          <w:rFonts w:ascii="Arial" w:hAnsi="Arial"/>
          <w:b w:val="0"/>
          <w:i w:val="0"/>
          <w:sz w:val="28"/>
        </w:rPr>
        <w:t xml:space="preserve"> La jurisprudencia no exige un cúmulo de pruebas concurrentes, sino una prueba directa, y ésa fue ofrecida.</w:t>
      </w:r>
    </w:p>
    <w:p>
      <w:pPr>
        <w:spacing w:line="360" w:lineRule="auto"/>
        <w:jc w:val="both"/>
      </w:pPr>
      <w:r>
        <w:rPr>
          <w:rFonts w:ascii="Arial" w:hAnsi="Arial"/>
          <w:b w:val="0"/>
          <w:i w:val="0"/>
          <w:sz w:val="28"/>
        </w:rPr>
        <w:t>Finalmente, si la sentencia reclamada se dictó antes de que la jurisprudencia adquiriera obligatoriedad, ello no impide su aplicación en este juicio. El criterio no crea una norma nueva ni impone una carga inexistente: interpreta el valor de una prueba conforme a la ley que ya regía, y su aplicación beneficia a la persona trabajadora, de modo que no se actualiza la prohibición del último párrafo del artículo 217 de la Ley de Amparo, que sólo veda el efecto retroactivo de la jurisprudencia en perjuicio de persona alguna.</w:t>
      </w:r>
    </w:p>
    <w:p>
      <w:pPr>
        <w:spacing w:line="360" w:lineRule="auto"/>
        <w:jc w:val="both"/>
      </w:pPr>
      <w:r>
        <w:rPr>
          <w:rFonts w:ascii="Arial" w:hAnsi="Arial"/>
          <w:b w:val="0"/>
          <w:i w:val="0"/>
          <w:sz w:val="28"/>
        </w:rPr>
        <w:t>El Tribunal Colegiado que conozca de este amparo debe resolver conforme a la jurisprudencia vigente al momento de fallar y, aunque el propio artículo 217 no lo sujete a la jurisprudencia de otro Tribunal Colegiado, no puede apartarse de un criterio que resolvió el mismo problema probatorio sin exponer las razones que lo justifiquen.</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 xml:space="preserve">En suma: la hoja de certificación de derechos tiene valor pleno sólo mientras no exista prueba directa en contrario; los periodos asentados en el SIA-Infonavit son esa prueba directa por disposición de la jurisprudencia invocada; la persona quejosa la ofreció y acredita el periodo </w:t>
      </w:r>
      <w:r>
        <w:rPr>
          <w:rFonts w:ascii="Arial" w:hAnsi="Arial"/>
          <w:b/>
          <w:i w:val="0"/>
          <w:sz w:val="28"/>
        </w:rPr>
        <w:t>[PERIODO NO RECONOCIDO]</w:t>
      </w:r>
      <w:r>
        <w:rPr>
          <w:rFonts w:ascii="Arial" w:hAnsi="Arial"/>
          <w:b w:val="0"/>
          <w:i w:val="0"/>
          <w:sz w:val="28"/>
        </w:rPr>
        <w:t>; y la responsable, mediante un razonamiento circular y una deferencia indebida al registro de la parte demandada, se negó a extraer de ella la consecuencia jurídica que le corresponde. La sentencia reclamada adolece, por tanto, de una indebida valoración de la prueba que trasciende al resultado del fallo.</w:t>
      </w:r>
    </w:p>
    <w:p>
      <w:pPr>
        <w:spacing w:line="360" w:lineRule="auto"/>
        <w:jc w:val="both"/>
      </w:pPr>
      <w:r>
        <w:rPr>
          <w:rFonts w:ascii="Arial" w:hAnsi="Arial"/>
          <w:b w:val="0"/>
          <w:i w:val="0"/>
          <w:sz w:val="28"/>
        </w:rPr>
        <w:t xml:space="preserve">Por lo expuesto, procede declarar fundado el presente concepto de violación y conceder a </w:t>
      </w:r>
      <w:r>
        <w:rPr>
          <w:rFonts w:ascii="Arial" w:hAnsi="Arial"/>
          <w:b/>
          <w:i w:val="0"/>
          <w:sz w:val="28"/>
        </w:rPr>
        <w:t>[NOMBRE DE LA PERSONA QUEJOSA]</w:t>
      </w:r>
      <w:r>
        <w:rPr>
          <w:rFonts w:ascii="Arial" w:hAnsi="Arial"/>
          <w:b w:val="0"/>
          <w:i w:val="0"/>
          <w:sz w:val="28"/>
        </w:rPr>
        <w:t xml:space="preserve"> el amparo y protección de la Justicia Federal, para el efecto de que el </w:t>
      </w:r>
      <w:r>
        <w:rPr>
          <w:rFonts w:ascii="Arial" w:hAnsi="Arial"/>
          <w:b/>
          <w:i w:val="0"/>
          <w:sz w:val="28"/>
        </w:rPr>
        <w:t>[TRIBUNAL LABORAL O JUNTA RESPONSABLE]</w:t>
      </w:r>
      <w:r>
        <w:rPr>
          <w:rFonts w:ascii="Arial" w:hAnsi="Arial"/>
          <w:b w:val="0"/>
          <w:i w:val="0"/>
          <w:sz w:val="28"/>
        </w:rPr>
        <w:t xml:space="preserve"> deje insubsistente la sentencia reclamada y dicte otra en la que, con libertad de jurisdicción en lo demás, tenga por desvirtuada parcialmente la hoja de certificación de derechos respecto del periodo </w:t>
      </w:r>
      <w:r>
        <w:rPr>
          <w:rFonts w:ascii="Arial" w:hAnsi="Arial"/>
          <w:b/>
          <w:i w:val="0"/>
          <w:sz w:val="28"/>
        </w:rPr>
        <w:t>[PERIODO NO RECONOCIDO]</w:t>
      </w:r>
      <w:r>
        <w:rPr>
          <w:rFonts w:ascii="Arial" w:hAnsi="Arial"/>
          <w:b w:val="0"/>
          <w:i w:val="0"/>
          <w:sz w:val="28"/>
        </w:rPr>
        <w:t>.</w:t>
      </w:r>
    </w:p>
    <w:p>
      <w:pPr>
        <w:spacing w:line="360" w:lineRule="auto"/>
        <w:jc w:val="both"/>
      </w:pPr>
      <w:r>
        <w:rPr>
          <w:rFonts w:ascii="Arial" w:hAnsi="Arial"/>
          <w:b w:val="0"/>
          <w:i w:val="0"/>
          <w:sz w:val="28"/>
        </w:rPr>
        <w:t xml:space="preserve">En esa nueva resolución deberá reconocer a la persona quejosa las </w:t>
      </w:r>
      <w:r>
        <w:rPr>
          <w:rFonts w:ascii="Arial" w:hAnsi="Arial"/>
          <w:b/>
          <w:i w:val="0"/>
          <w:sz w:val="28"/>
        </w:rPr>
        <w:t>[NÚMERO DE SEMANAS RECLAMADAS]</w:t>
      </w:r>
      <w:r>
        <w:rPr>
          <w:rFonts w:ascii="Arial" w:hAnsi="Arial"/>
          <w:b w:val="0"/>
          <w:i w:val="0"/>
          <w:sz w:val="28"/>
        </w:rPr>
        <w:t xml:space="preserve"> semanas de cotización correspondientes y resolver en consecuencia sobre </w:t>
      </w:r>
      <w:r>
        <w:rPr>
          <w:rFonts w:ascii="Arial" w:hAnsi="Arial"/>
          <w:b/>
          <w:i w:val="0"/>
          <w:sz w:val="28"/>
        </w:rPr>
        <w:t>[PRESTACIÓN RECLAMADA]</w:t>
      </w:r>
      <w:r>
        <w:rPr>
          <w:rFonts w:ascii="Arial" w:hAnsi="Arial"/>
          <w:b w:val="0"/>
          <w:i w:val="0"/>
          <w:sz w:val="28"/>
        </w:rPr>
        <w:t>. Se solicita el estudio preferente de este concepto, pues su acogimiento produce el mayor beneficio y torna innecesario el examen de los restantes.</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FERRER BELTRÁN, Jordi et al., </w:t>
      </w:r>
      <w:r>
        <w:rPr>
          <w:rFonts w:ascii="Arial" w:hAnsi="Arial"/>
          <w:i/>
          <w:sz w:val="20"/>
        </w:rPr>
        <w:t>Estudios sobre la prueba</w:t>
      </w:r>
      <w:r>
        <w:rPr>
          <w:rFonts w:ascii="Arial" w:hAnsi="Arial"/>
          <w:i w:val="0"/>
          <w:sz w:val="20"/>
        </w:rPr>
        <w:t>, Universidad Nacional Autónoma de México, México, 2006, p. 53.</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 p. 64.</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 xml:space="preserve">TARUFFO, Michele, </w:t>
      </w:r>
      <w:r>
        <w:rPr>
          <w:rFonts w:ascii="Arial" w:hAnsi="Arial"/>
          <w:i/>
          <w:sz w:val="20"/>
        </w:rPr>
        <w:t>La motivación de la sentencia civil</w:t>
      </w:r>
      <w:r>
        <w:rPr>
          <w:rFonts w:ascii="Arial" w:hAnsi="Arial"/>
          <w:i w:val="0"/>
          <w:sz w:val="20"/>
        </w:rPr>
        <w:t>, trad. de Lorenzo Córdova Vianello, Tribunal Electoral del Poder Judicial de la Federación, México, 2006, p. 425.</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73.</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MORA RAMIREZ, Rafael, </w:t>
      </w:r>
      <w:r>
        <w:rPr>
          <w:rFonts w:ascii="Arial" w:hAnsi="Arial"/>
          <w:i/>
          <w:sz w:val="20"/>
        </w:rPr>
        <w:t>Para comprender a las falacias</w:t>
      </w:r>
      <w:r>
        <w:rPr>
          <w:rFonts w:ascii="Arial" w:hAnsi="Arial"/>
          <w:i w:val="0"/>
          <w:sz w:val="20"/>
        </w:rPr>
        <w:t>, Acuedu Ediciones, s. f., p. 90.</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54.</w:t>
      </w:r>
    </w:p>
    <w:p/>
    <w:p>
      <w:r>
        <w:rPr>
          <w:rFonts w:ascii="Arial" w:hAnsi="Arial"/>
          <w:b/>
          <w:sz w:val="22"/>
        </w:rPr>
        <w:t>BIBLIOGRAFÍA</w:t>
      </w:r>
    </w:p>
    <w:p>
      <w:pPr>
        <w:spacing w:after="60"/>
        <w:ind w:left="360" w:hanging="360"/>
        <w:jc w:val="both"/>
      </w:pPr>
      <w:r>
        <w:rPr>
          <w:rFonts w:ascii="Arial" w:hAnsi="Arial"/>
          <w:i w:val="0"/>
          <w:sz w:val="20"/>
        </w:rPr>
        <w:t xml:space="preserve">FERRER BELTRÁN, Jordi et al., </w:t>
      </w:r>
      <w:r>
        <w:rPr>
          <w:rFonts w:ascii="Arial" w:hAnsi="Arial"/>
          <w:i/>
          <w:sz w:val="20"/>
        </w:rPr>
        <w:t>Estudios sobre la prueba</w:t>
      </w:r>
      <w:r>
        <w:rPr>
          <w:rFonts w:ascii="Arial" w:hAnsi="Arial"/>
          <w:i w:val="0"/>
          <w:sz w:val="20"/>
        </w:rPr>
        <w:t>, Universidad Nacional Autónoma de México, México, 2006.</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MORA RAMIREZ, Rafael, </w:t>
      </w:r>
      <w:r>
        <w:rPr>
          <w:rFonts w:ascii="Arial" w:hAnsi="Arial"/>
          <w:i/>
          <w:sz w:val="20"/>
        </w:rPr>
        <w:t>Para comprender a las falacias</w:t>
      </w:r>
      <w:r>
        <w:rPr>
          <w:rFonts w:ascii="Arial" w:hAnsi="Arial"/>
          <w:i w:val="0"/>
          <w:sz w:val="20"/>
        </w:rPr>
        <w:t>, Acuedu Ediciones, s. f.</w:t>
      </w:r>
    </w:p>
    <w:p>
      <w:pPr>
        <w:spacing w:after="60"/>
        <w:ind w:left="360" w:hanging="360"/>
        <w:jc w:val="both"/>
      </w:pPr>
      <w:r>
        <w:rPr>
          <w:rFonts w:ascii="Arial" w:hAnsi="Arial"/>
          <w:i w:val="0"/>
          <w:sz w:val="20"/>
        </w:rPr>
        <w:t xml:space="preserve">TARUFFO, Michele, </w:t>
      </w:r>
      <w:r>
        <w:rPr>
          <w:rFonts w:ascii="Arial" w:hAnsi="Arial"/>
          <w:i/>
          <w:sz w:val="20"/>
        </w:rPr>
        <w:t>La motivación de la sentencia civil</w:t>
      </w:r>
      <w:r>
        <w:rPr>
          <w:rFonts w:ascii="Arial" w:hAnsi="Arial"/>
          <w:i w:val="0"/>
          <w:sz w:val="20"/>
        </w:rPr>
        <w:t>, trad. de Lorenzo Córdova Vianello, Tribunal Electoral del Poder Judicial de la Federación, México, 2006.</w:t>
      </w:r>
    </w:p>
    <w:p>
      <w:pPr>
        <w:spacing w:after="60"/>
        <w:ind w:left="360" w:hanging="360"/>
        <w:jc w:val="both"/>
      </w:pPr>
      <w:r>
        <w:rPr>
          <w:rFonts w:ascii="Arial" w:hAnsi="Arial"/>
          <w:i w:val="0"/>
          <w:sz w:val="20"/>
        </w:rPr>
        <w:t xml:space="preserve">TRON PETIT, Jean Claude, </w:t>
      </w:r>
      <w:r>
        <w:rPr>
          <w:rFonts w:ascii="Arial" w:hAnsi="Arial"/>
          <w:i/>
          <w:sz w:val="20"/>
        </w:rPr>
        <w:t>Argumentación en el amparo. Esquema formal de los conceptos de violación y las sentencias de amparo</w:t>
      </w:r>
      <w:r>
        <w:rPr>
          <w:rFonts w:ascii="Arial" w:hAnsi="Arial"/>
          <w:i w:val="0"/>
          <w:sz w:val="20"/>
        </w:rPr>
        <w:t>, Porrúa, México, 2009.</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