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CONCEPTO DE VIOLACIÓN. PROMOCIÓN EXTEMPORÁNEA POR FALTA DE CITAS Y FALLA DEL MÓDULO DE TURNO EN LA CIUDAD DE MÉXICO</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y adapta el concepto de violación a tu demanda de amparo. Antes de llenar los campos reconstruye la línea de tiempo con tus pruebas: los intentos de cita, la visita al Módulo de Turno el día del vencimiento y la fecha en que por fin se recibió la promoción.</w:t>
      </w:r>
    </w:p>
    <w:p>
      <w:pPr>
        <w:spacing w:line="360" w:lineRule="auto"/>
        <w:jc w:val="both"/>
      </w:pPr>
      <w:r>
        <w:rPr>
          <w:rFonts w:ascii="Arial" w:hAnsi="Arial"/>
          <w:b w:val="0"/>
          <w:i w:val="0"/>
          <w:sz w:val="24"/>
        </w:rPr>
        <w:t>Verifica la vía (amparo indirecto o directo) con el párrafo correspondiente del apartado II y conserva sólo la ruta que aplique. Revisa el plazo para promover el amparo conforme a la Ley de Amparo y a la fecha en que surtió efectos la notificación del auto reclamado; el machote no fija cifras de plazo. Si el acto afecta derechos de menores de edad o incapaces, el estado civil o el orden o estabilidad de la familia, recuerda que no se te exige haber preparado la violación procesal mediante recurso ordinario.</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CONCEPTO]</w:t>
      </w:r>
      <w:r>
        <w:rPr>
          <w:rFonts w:ascii="Arial" w:hAnsi="Arial"/>
          <w:b w:val="0"/>
          <w:i w:val="0"/>
          <w:sz w:val="24"/>
        </w:rPr>
        <w:t>: el ordinal que le corresponda en tu demanda (PRIMERO, SEGUNDO…).</w:t>
      </w:r>
    </w:p>
    <w:p>
      <w:pPr>
        <w:spacing w:line="360" w:lineRule="auto"/>
        <w:jc w:val="both"/>
      </w:pPr>
      <w:r>
        <w:rPr>
          <w:rFonts w:ascii="Arial" w:hAnsi="Arial"/>
          <w:b/>
          <w:i w:val="0"/>
          <w:sz w:val="24"/>
        </w:rPr>
        <w:t>[FECHA DEL AUTO RECLAMADO]</w:t>
      </w:r>
      <w:r>
        <w:rPr>
          <w:rFonts w:ascii="Arial" w:hAnsi="Arial"/>
          <w:b w:val="0"/>
          <w:i w:val="0"/>
          <w:sz w:val="24"/>
        </w:rPr>
        <w:t>: fecha del auto que tuvo por extemporánea la promoción.</w:t>
      </w:r>
    </w:p>
    <w:p>
      <w:pPr>
        <w:spacing w:line="360" w:lineRule="auto"/>
        <w:jc w:val="both"/>
      </w:pPr>
      <w:r>
        <w:rPr>
          <w:rFonts w:ascii="Arial" w:hAnsi="Arial"/>
          <w:b/>
          <w:i w:val="0"/>
          <w:sz w:val="24"/>
        </w:rPr>
        <w:t>[FECHA DE NOTIFICACIÓN DEL AUTO RECLAMADO]</w:t>
      </w:r>
      <w:r>
        <w:rPr>
          <w:rFonts w:ascii="Arial" w:hAnsi="Arial"/>
          <w:b w:val="0"/>
          <w:i w:val="0"/>
          <w:sz w:val="24"/>
        </w:rPr>
        <w:t>: fecha en que se te notificó ese auto.</w:t>
      </w:r>
    </w:p>
    <w:p>
      <w:pPr>
        <w:spacing w:line="360" w:lineRule="auto"/>
        <w:jc w:val="both"/>
      </w:pPr>
      <w:r>
        <w:rPr>
          <w:rFonts w:ascii="Arial" w:hAnsi="Arial"/>
          <w:b/>
          <w:i w:val="0"/>
          <w:sz w:val="24"/>
        </w:rPr>
        <w:t>[JUZGADO RESPONSABLE]</w:t>
      </w:r>
      <w:r>
        <w:rPr>
          <w:rFonts w:ascii="Arial" w:hAnsi="Arial"/>
          <w:b w:val="0"/>
          <w:i w:val="0"/>
          <w:sz w:val="24"/>
        </w:rPr>
        <w:t>: denominación completa del juzgado civil o familiar de la Ciudad de México.</w:t>
      </w:r>
    </w:p>
    <w:p>
      <w:pPr>
        <w:spacing w:line="360" w:lineRule="auto"/>
        <w:jc w:val="both"/>
      </w:pPr>
      <w:r>
        <w:rPr>
          <w:rFonts w:ascii="Arial" w:hAnsi="Arial"/>
          <w:b/>
          <w:i w:val="0"/>
          <w:sz w:val="24"/>
        </w:rPr>
        <w:t>[NÚMERO DE EXPEDIENTE DEL JUICIO DE ORIGEN]</w:t>
      </w:r>
      <w:r>
        <w:rPr>
          <w:rFonts w:ascii="Arial" w:hAnsi="Arial"/>
          <w:b w:val="0"/>
          <w:i w:val="0"/>
          <w:sz w:val="24"/>
        </w:rPr>
        <w:t>: expediente del juicio en que se dictó el auto.</w:t>
      </w:r>
    </w:p>
    <w:p>
      <w:pPr>
        <w:spacing w:line="360" w:lineRule="auto"/>
        <w:jc w:val="both"/>
      </w:pPr>
      <w:r>
        <w:rPr>
          <w:rFonts w:ascii="Arial" w:hAnsi="Arial"/>
          <w:b/>
          <w:i w:val="0"/>
          <w:sz w:val="24"/>
        </w:rPr>
        <w:t>[PROMOCIÓN O ESCRITO DE QUE SE TRATA]</w:t>
      </w:r>
      <w:r>
        <w:rPr>
          <w:rFonts w:ascii="Arial" w:hAnsi="Arial"/>
          <w:b w:val="0"/>
          <w:i w:val="0"/>
          <w:sz w:val="24"/>
        </w:rPr>
        <w:t>: la promoción afectada (contestación de demanda, recurso de apelación, desahogo de vista, etcétera).</w:t>
      </w:r>
    </w:p>
    <w:p>
      <w:pPr>
        <w:spacing w:line="360" w:lineRule="auto"/>
        <w:jc w:val="both"/>
      </w:pPr>
      <w:r>
        <w:rPr>
          <w:rFonts w:ascii="Arial" w:hAnsi="Arial"/>
          <w:b/>
          <w:i w:val="0"/>
          <w:sz w:val="24"/>
        </w:rPr>
        <w:t>[NOMBRE DE LA PERSONA QUEJOSA]</w:t>
      </w:r>
      <w:r>
        <w:rPr>
          <w:rFonts w:ascii="Arial" w:hAnsi="Arial"/>
          <w:b w:val="0"/>
          <w:i w:val="0"/>
          <w:sz w:val="24"/>
        </w:rPr>
        <w:t>: nombre completo de quien promueve el amparo.</w:t>
      </w:r>
    </w:p>
    <w:p>
      <w:pPr>
        <w:spacing w:line="360" w:lineRule="auto"/>
        <w:jc w:val="both"/>
      </w:pPr>
      <w:r>
        <w:rPr>
          <w:rFonts w:ascii="Arial" w:hAnsi="Arial"/>
          <w:b/>
          <w:i w:val="0"/>
          <w:sz w:val="24"/>
        </w:rPr>
        <w:t>[CONSECUENCIA PROCESAL DECRETADA]</w:t>
      </w:r>
      <w:r>
        <w:rPr>
          <w:rFonts w:ascii="Arial" w:hAnsi="Arial"/>
          <w:b w:val="0"/>
          <w:i w:val="0"/>
          <w:sz w:val="24"/>
        </w:rPr>
        <w:t>: lo que el auto decretó (desechamiento del recurso, preclusión del derecho, tener por no contestada la demanda).</w:t>
      </w:r>
    </w:p>
    <w:p>
      <w:pPr>
        <w:spacing w:line="360" w:lineRule="auto"/>
        <w:jc w:val="both"/>
      </w:pPr>
      <w:r>
        <w:rPr>
          <w:rFonts w:ascii="Arial" w:hAnsi="Arial"/>
          <w:b/>
          <w:i w:val="0"/>
          <w:sz w:val="24"/>
        </w:rPr>
        <w:t>[FECHA DE VENCIMIENTO DEL PLAZO]</w:t>
      </w:r>
      <w:r>
        <w:rPr>
          <w:rFonts w:ascii="Arial" w:hAnsi="Arial"/>
          <w:b w:val="0"/>
          <w:i w:val="0"/>
          <w:sz w:val="24"/>
        </w:rPr>
        <w:t>: último día del plazo legal para presentar la promoción.</w:t>
      </w:r>
    </w:p>
    <w:p>
      <w:pPr>
        <w:spacing w:line="360" w:lineRule="auto"/>
        <w:jc w:val="both"/>
      </w:pPr>
      <w:r>
        <w:rPr>
          <w:rFonts w:ascii="Arial" w:hAnsi="Arial"/>
          <w:b/>
          <w:i w:val="0"/>
          <w:sz w:val="24"/>
        </w:rPr>
        <w:t>[FUNDAMENTO DE LA PROCEDENCIA DEL AMPARO INDIRECTO]</w:t>
      </w:r>
      <w:r>
        <w:rPr>
          <w:rFonts w:ascii="Arial" w:hAnsi="Arial"/>
          <w:b w:val="0"/>
          <w:i w:val="0"/>
          <w:sz w:val="24"/>
        </w:rPr>
        <w:t>: explica por qué el acto es de imposible reparación (afecta materialmente derechos sustantivos) o se dictó fuera de juicio o después de concluido.</w:t>
      </w:r>
    </w:p>
    <w:p>
      <w:pPr>
        <w:spacing w:line="360" w:lineRule="auto"/>
        <w:jc w:val="both"/>
      </w:pPr>
      <w:r>
        <w:rPr>
          <w:rFonts w:ascii="Arial" w:hAnsi="Arial"/>
          <w:b/>
          <w:i w:val="0"/>
          <w:sz w:val="24"/>
        </w:rPr>
        <w:t>[FECHAS Y HORAS DE LOS INTENTOS DE CITA]</w:t>
      </w:r>
      <w:r>
        <w:rPr>
          <w:rFonts w:ascii="Arial" w:hAnsi="Arial"/>
          <w:b w:val="0"/>
          <w:i w:val="0"/>
          <w:sz w:val="24"/>
        </w:rPr>
        <w:t>: cada intento en el portal, con fecha y hora, tal como aparece en tus capturas.</w:t>
      </w:r>
    </w:p>
    <w:p>
      <w:pPr>
        <w:spacing w:line="360" w:lineRule="auto"/>
        <w:jc w:val="both"/>
      </w:pPr>
      <w:r>
        <w:rPr>
          <w:rFonts w:ascii="Arial" w:hAnsi="Arial"/>
          <w:b/>
          <w:i w:val="0"/>
          <w:sz w:val="24"/>
        </w:rPr>
        <w:t>[PRUEBAS DE LA IMPOSIBILIDAD]</w:t>
      </w:r>
      <w:r>
        <w:rPr>
          <w:rFonts w:ascii="Arial" w:hAnsi="Arial"/>
          <w:b w:val="0"/>
          <w:i w:val="0"/>
          <w:sz w:val="24"/>
        </w:rPr>
        <w:t>: capturas de pantalla, constancias, fotografías, testigos y la manifestación bajo protesta hecha en la promoción.</w:t>
      </w:r>
    </w:p>
    <w:p>
      <w:pPr>
        <w:spacing w:line="360" w:lineRule="auto"/>
        <w:jc w:val="both"/>
      </w:pPr>
      <w:r>
        <w:rPr>
          <w:rFonts w:ascii="Arial" w:hAnsi="Arial"/>
          <w:b/>
          <w:i w:val="0"/>
          <w:sz w:val="24"/>
        </w:rPr>
        <w:t>[FECHA DE ACUDIR AL MÓDULO DE TURNO]</w:t>
      </w:r>
      <w:r>
        <w:rPr>
          <w:rFonts w:ascii="Arial" w:hAnsi="Arial"/>
          <w:b w:val="0"/>
          <w:i w:val="0"/>
          <w:sz w:val="24"/>
        </w:rPr>
        <w:t>: día en que acudiste físicamente a la Oficialía de Partes Común; normalmente el del vencimiento.</w:t>
      </w:r>
    </w:p>
    <w:p>
      <w:pPr>
        <w:spacing w:line="360" w:lineRule="auto"/>
        <w:jc w:val="both"/>
      </w:pPr>
      <w:r>
        <w:rPr>
          <w:rFonts w:ascii="Arial" w:hAnsi="Arial"/>
          <w:b/>
          <w:i w:val="0"/>
          <w:sz w:val="24"/>
        </w:rPr>
        <w:t>[LO OCURRIDO EN EL MÓDULO DE TURNO]</w:t>
      </w:r>
      <w:r>
        <w:rPr>
          <w:rFonts w:ascii="Arial" w:hAnsi="Arial"/>
          <w:b w:val="0"/>
          <w:i w:val="0"/>
          <w:sz w:val="24"/>
        </w:rPr>
        <w:t>: descripción precisa de la falla: no se entregaron fichas, se agotaron, el módulo no operó o cerró antes de la hora, no se recibió el escrito.</w:t>
      </w:r>
    </w:p>
    <w:p>
      <w:pPr>
        <w:spacing w:line="360" w:lineRule="auto"/>
        <w:jc w:val="both"/>
      </w:pPr>
      <w:r>
        <w:rPr>
          <w:rFonts w:ascii="Arial" w:hAnsi="Arial"/>
          <w:b/>
          <w:i w:val="0"/>
          <w:sz w:val="24"/>
        </w:rPr>
        <w:t>[FECHA DE PRESENTACIÓN EFECTIVA DE LA PROMOCIÓN]</w:t>
      </w:r>
      <w:r>
        <w:rPr>
          <w:rFonts w:ascii="Arial" w:hAnsi="Arial"/>
          <w:b w:val="0"/>
          <w:i w:val="0"/>
          <w:sz w:val="24"/>
        </w:rPr>
        <w:t>: fecha del sello de recepción, que debe ser el primer día en que fue posible presentarla.</w:t>
      </w:r>
    </w:p>
    <w:p/>
    <w:p>
      <w:pPr>
        <w:spacing w:line="360" w:lineRule="auto"/>
        <w:jc w:val="both"/>
      </w:pPr>
      <w:r>
        <w:rPr>
          <w:rFonts w:ascii="Arial" w:hAnsi="Arial"/>
          <w:b/>
          <w:sz w:val="28"/>
        </w:rPr>
        <w:t>[NÚMERO ORDINAL DEL CONCEPTO] CONCEPTO DE VIOLACIÓN. Violación al derecho de acceso a la justicia previsto en el artículo 17, segundo párrafo, de la Constitución Política de los Estados Unidos Mexicanos. El auto reclamado tuvo por extemporánea la promoción de la persona quejosa sin ponderar que, ante la falta de citas en el sistema electrónico del Poder Judicial de la Ciudad de México, la vía alterna del Módulo de Turno de Atención a Usuario no operó, de modo que el caso queda fuera del supuesto que la jurisprudencia PR.A.C.CN. J/45 A (12a.) considera constitucionalmente subsanado.</w:t>
      </w:r>
    </w:p>
    <w:p>
      <w:pPr>
        <w:spacing w:line="360" w:lineRule="auto"/>
        <w:jc w:val="both"/>
      </w:pPr>
      <w:r>
        <w:rPr>
          <w:rFonts w:ascii="Arial" w:hAnsi="Arial"/>
          <w:b/>
          <w:sz w:val="28"/>
        </w:rPr>
        <w:t>I. Síntesis del concepto.</w:t>
      </w:r>
    </w:p>
    <w:p>
      <w:pPr>
        <w:spacing w:line="360" w:lineRule="auto"/>
        <w:jc w:val="both"/>
      </w:pPr>
      <w:r>
        <w:rPr>
          <w:rFonts w:ascii="Arial" w:hAnsi="Arial"/>
          <w:b w:val="0"/>
          <w:i w:val="0"/>
          <w:sz w:val="28"/>
        </w:rPr>
        <w:t xml:space="preserve">En este apartado se demostrará que el auto de </w:t>
      </w:r>
      <w:r>
        <w:rPr>
          <w:rFonts w:ascii="Arial" w:hAnsi="Arial"/>
          <w:b/>
          <w:i w:val="0"/>
          <w:sz w:val="28"/>
        </w:rPr>
        <w:t>[FECHA DEL AUTO RECLAMADO]</w:t>
      </w:r>
      <w:r>
        <w:rPr>
          <w:rFonts w:ascii="Arial" w:hAnsi="Arial"/>
          <w:b w:val="0"/>
          <w:i w:val="0"/>
          <w:sz w:val="28"/>
        </w:rPr>
        <w:t xml:space="preserve">, dictado por el </w:t>
      </w:r>
      <w:r>
        <w:rPr>
          <w:rFonts w:ascii="Arial" w:hAnsi="Arial"/>
          <w:b/>
          <w:i w:val="0"/>
          <w:sz w:val="28"/>
        </w:rPr>
        <w:t>[JUZGADO RESPONSABLE]</w:t>
      </w:r>
      <w:r>
        <w:rPr>
          <w:rFonts w:ascii="Arial" w:hAnsi="Arial"/>
          <w:b w:val="0"/>
          <w:i w:val="0"/>
          <w:sz w:val="28"/>
        </w:rPr>
        <w:t xml:space="preserve"> en el expediente </w:t>
      </w:r>
      <w:r>
        <w:rPr>
          <w:rFonts w:ascii="Arial" w:hAnsi="Arial"/>
          <w:b/>
          <w:i w:val="0"/>
          <w:sz w:val="28"/>
        </w:rPr>
        <w:t>[NÚMERO DE EXPEDIENTE DEL JUICIO DE ORIGEN]</w:t>
      </w:r>
      <w:r>
        <w:rPr>
          <w:rFonts w:ascii="Arial" w:hAnsi="Arial"/>
          <w:b w:val="0"/>
          <w:i w:val="0"/>
          <w:sz w:val="28"/>
        </w:rPr>
        <w:t xml:space="preserve">, por el que se tuvo por extemporánea la </w:t>
      </w:r>
      <w:r>
        <w:rPr>
          <w:rFonts w:ascii="Arial" w:hAnsi="Arial"/>
          <w:b/>
          <w:i w:val="0"/>
          <w:sz w:val="28"/>
        </w:rPr>
        <w:t>[PROMOCIÓN O ESCRITO DE QUE SE TRATA]</w:t>
      </w:r>
      <w:r>
        <w:rPr>
          <w:rFonts w:ascii="Arial" w:hAnsi="Arial"/>
          <w:b w:val="0"/>
          <w:i w:val="0"/>
          <w:sz w:val="28"/>
        </w:rPr>
        <w:t xml:space="preserve"> de </w:t>
      </w:r>
      <w:r>
        <w:rPr>
          <w:rFonts w:ascii="Arial" w:hAnsi="Arial"/>
          <w:b/>
          <w:i w:val="0"/>
          <w:sz w:val="28"/>
        </w:rPr>
        <w:t>[NOMBRE DE LA PERSONA QUEJOSA]</w:t>
      </w:r>
      <w:r>
        <w:rPr>
          <w:rFonts w:ascii="Arial" w:hAnsi="Arial"/>
          <w:b w:val="0"/>
          <w:i w:val="0"/>
          <w:sz w:val="28"/>
        </w:rPr>
        <w:t xml:space="preserve"> y se decretó </w:t>
      </w:r>
      <w:r>
        <w:rPr>
          <w:rFonts w:ascii="Arial" w:hAnsi="Arial"/>
          <w:b/>
          <w:i w:val="0"/>
          <w:sz w:val="28"/>
        </w:rPr>
        <w:t>[CONSECUENCIA PROCESAL DECRETADA]</w:t>
      </w:r>
      <w:r>
        <w:rPr>
          <w:rFonts w:ascii="Arial" w:hAnsi="Arial"/>
          <w:b w:val="0"/>
          <w:i w:val="0"/>
          <w:sz w:val="28"/>
        </w:rPr>
        <w:t>, viola el derecho de acceso a la justicia, porque la presentación tardía no obedeció a descuido de la parte, sino a que el propio aparato de recepción documental del Poder Judicial local le impidió entregar el escrito dentro del plazo.</w:t>
      </w:r>
    </w:p>
    <w:p>
      <w:pPr>
        <w:spacing w:line="360" w:lineRule="auto"/>
        <w:jc w:val="both"/>
      </w:pPr>
      <w:r>
        <w:rPr>
          <w:rFonts w:ascii="Arial" w:hAnsi="Arial"/>
          <w:b w:val="0"/>
          <w:i w:val="0"/>
          <w:sz w:val="28"/>
        </w:rPr>
        <w:t>La demostración no descansa en la sola falta de citas electrónicas. La jurisprudencia del Pleno Regional que aquí se invoca ha resuelto que esa carencia, por sí misma, no viola el artículo 17 constitucional, precisamente porque el Acuerdo General 35-39/2022 prevé una vía alterna, presencial e inmediata: el Módulo de Turno de Atención a Usuario.</w:t>
      </w:r>
    </w:p>
    <w:p>
      <w:pPr>
        <w:spacing w:line="360" w:lineRule="auto"/>
        <w:jc w:val="both"/>
      </w:pPr>
      <w:r>
        <w:rPr>
          <w:rFonts w:ascii="Arial" w:hAnsi="Arial"/>
          <w:b w:val="0"/>
          <w:i w:val="0"/>
          <w:sz w:val="28"/>
        </w:rPr>
        <w:t>Este concepto toma esa razón de decidir y la lleva a su consecuencia lógica: si la constitucionalidad del sistema descansa en que la vía alterna exista y opere, el día en que la vía alterna no operó la restricción tecnológica quedó sin subsanar y la barrera dejó de ser hipotética.</w:t>
      </w:r>
    </w:p>
    <w:p>
      <w:pPr>
        <w:spacing w:line="360" w:lineRule="auto"/>
        <w:jc w:val="both"/>
      </w:pPr>
      <w:r>
        <w:rPr>
          <w:rFonts w:ascii="Arial" w:hAnsi="Arial"/>
          <w:b w:val="0"/>
          <w:i w:val="0"/>
          <w:sz w:val="28"/>
        </w:rPr>
        <w:t>Si esa premisa se acepta, la conclusión es directa: el juzgado responsable aplicó la regla del plazo y la regla general de la jurisprudencia a un caso que constituye su excepción, sin examinar las constancias con que la persona quejosa acreditó que agotó, sin éxito, las dos vías de recepción. Procede, por tanto, conceder el amparo para que se deje insubsistente el auto reclamado y se provea sobre la promoción atendiendo a la fecha en que su presentación fue materialmente posible.</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El acto reclamado es el auto de </w:t>
      </w:r>
      <w:r>
        <w:rPr>
          <w:rFonts w:ascii="Arial" w:hAnsi="Arial"/>
          <w:b/>
          <w:i w:val="0"/>
          <w:sz w:val="28"/>
        </w:rPr>
        <w:t>[FECHA DEL AUTO RECLAMADO]</w:t>
      </w:r>
      <w:r>
        <w:rPr>
          <w:rFonts w:ascii="Arial" w:hAnsi="Arial"/>
          <w:b w:val="0"/>
          <w:i w:val="0"/>
          <w:sz w:val="28"/>
        </w:rPr>
        <w:t xml:space="preserve">, notificado el </w:t>
      </w:r>
      <w:r>
        <w:rPr>
          <w:rFonts w:ascii="Arial" w:hAnsi="Arial"/>
          <w:b/>
          <w:i w:val="0"/>
          <w:sz w:val="28"/>
        </w:rPr>
        <w:t>[FECHA DE NOTIFICACIÓN DEL AUTO RECLAMADO]</w:t>
      </w:r>
      <w:r>
        <w:rPr>
          <w:rFonts w:ascii="Arial" w:hAnsi="Arial"/>
          <w:b w:val="0"/>
          <w:i w:val="0"/>
          <w:sz w:val="28"/>
        </w:rPr>
        <w:t xml:space="preserve">, mediante el cual el </w:t>
      </w:r>
      <w:r>
        <w:rPr>
          <w:rFonts w:ascii="Arial" w:hAnsi="Arial"/>
          <w:b/>
          <w:i w:val="0"/>
          <w:sz w:val="28"/>
        </w:rPr>
        <w:t>[JUZGADO RESPONSABLE]</w:t>
      </w:r>
      <w:r>
        <w:rPr>
          <w:rFonts w:ascii="Arial" w:hAnsi="Arial"/>
          <w:b w:val="0"/>
          <w:i w:val="0"/>
          <w:sz w:val="28"/>
        </w:rPr>
        <w:t xml:space="preserve"> tuvo por presentada fuera del plazo legal la </w:t>
      </w:r>
      <w:r>
        <w:rPr>
          <w:rFonts w:ascii="Arial" w:hAnsi="Arial"/>
          <w:b/>
          <w:i w:val="0"/>
          <w:sz w:val="28"/>
        </w:rPr>
        <w:t>[PROMOCIÓN O ESCRITO DE QUE SE TRATA]</w:t>
      </w:r>
      <w:r>
        <w:rPr>
          <w:rFonts w:ascii="Arial" w:hAnsi="Arial"/>
          <w:b w:val="0"/>
          <w:i w:val="0"/>
          <w:sz w:val="28"/>
        </w:rPr>
        <w:t xml:space="preserve">, cuyo término venció el </w:t>
      </w:r>
      <w:r>
        <w:rPr>
          <w:rFonts w:ascii="Arial" w:hAnsi="Arial"/>
          <w:b/>
          <w:i w:val="0"/>
          <w:sz w:val="28"/>
        </w:rPr>
        <w:t>[FECHA DE VENCIMIENTO DEL PLAZO]</w:t>
      </w:r>
      <w:r>
        <w:rPr>
          <w:rFonts w:ascii="Arial" w:hAnsi="Arial"/>
          <w:b w:val="0"/>
          <w:i w:val="0"/>
          <w:sz w:val="28"/>
        </w:rPr>
        <w:t xml:space="preserve">, y decretó </w:t>
      </w:r>
      <w:r>
        <w:rPr>
          <w:rFonts w:ascii="Arial" w:hAnsi="Arial"/>
          <w:b/>
          <w:i w:val="0"/>
          <w:sz w:val="28"/>
        </w:rPr>
        <w:t>[CONSECUENCIA PROCESAL DECRETADA]</w:t>
      </w:r>
      <w:r>
        <w:rPr>
          <w:rFonts w:ascii="Arial" w:hAnsi="Arial"/>
          <w:b w:val="0"/>
          <w:i w:val="0"/>
          <w:sz w:val="28"/>
        </w:rPr>
        <w:t>. Se reclama, además, la omisión de la Oficialía de Partes Común del Poder Judicial de la Ciudad de México de recibir el escrito el día de su vencimiento a través del Módulo de Turno de Atención a Usuario.</w:t>
      </w:r>
    </w:p>
    <w:p>
      <w:pPr>
        <w:spacing w:line="360" w:lineRule="auto"/>
        <w:jc w:val="both"/>
      </w:pPr>
      <w:r>
        <w:rPr>
          <w:rFonts w:ascii="Arial" w:hAnsi="Arial"/>
          <w:b w:val="0"/>
          <w:i w:val="0"/>
          <w:sz w:val="28"/>
        </w:rPr>
        <w:t>Las normas cuya inobservancia se plantea son el artículo 17, segundo párrafo, de la Constitución Política de los Estados Unidos Mexicanos, que garantiza a toda persona el derecho a que se le administre justicia por tribunales expeditos dentro de los plazos y términos que fijen las leyes, y los artículos 14 y 16 constitucionales, en cuanto exigen que toda privación de un derecho procesal se sustente en una motivación que atienda a las circunstancias efectivamente acreditadas en autos.</w:t>
      </w:r>
    </w:p>
    <w:p>
      <w:pPr>
        <w:spacing w:line="360" w:lineRule="auto"/>
        <w:jc w:val="both"/>
      </w:pPr>
      <w:r>
        <w:rPr>
          <w:rFonts w:ascii="Arial" w:hAnsi="Arial"/>
          <w:b w:val="0"/>
          <w:i w:val="0"/>
          <w:sz w:val="28"/>
        </w:rPr>
        <w:t xml:space="preserve">El perjuicio es inmediato: por una imposibilidad que no le es imputable, la persona quejosa perdió </w:t>
      </w:r>
      <w:r>
        <w:rPr>
          <w:rFonts w:ascii="Arial" w:hAnsi="Arial"/>
          <w:b/>
          <w:i w:val="0"/>
          <w:sz w:val="28"/>
        </w:rPr>
        <w:t>[CONSECUENCIA PROCESAL DECRETADA]</w:t>
      </w:r>
      <w:r>
        <w:rPr>
          <w:rFonts w:ascii="Arial" w:hAnsi="Arial"/>
          <w:b w:val="0"/>
          <w:i w:val="0"/>
          <w:sz w:val="28"/>
        </w:rPr>
        <w:t>, con lo que se le cerró la oportunidad de plantear su pretensión o su defensa en el juicio de origen. No se trata de la molestia abstracta de no conseguir una cita, sino de la pérdida concreta de una etapa procesal, provocada por el propio órgano encargado de recibir los escritos.</w:t>
      </w:r>
    </w:p>
    <w:p>
      <w:pPr>
        <w:spacing w:line="360" w:lineRule="auto"/>
        <w:jc w:val="both"/>
      </w:pPr>
      <w:r>
        <w:rPr>
          <w:rFonts w:ascii="Arial" w:hAnsi="Arial"/>
          <w:b w:val="0"/>
          <w:i w:val="0"/>
          <w:sz w:val="28"/>
        </w:rPr>
        <w:t xml:space="preserve">Sobre la vía, conviene precisar que este concepto se formula en amparo indirecto porque el acto reclamado </w:t>
      </w:r>
      <w:r>
        <w:rPr>
          <w:rFonts w:ascii="Arial" w:hAnsi="Arial"/>
          <w:b/>
          <w:i w:val="0"/>
          <w:sz w:val="28"/>
        </w:rPr>
        <w:t>[FUNDAMENTO DE LA PROCEDENCIA DEL AMPARO INDIRECTO]</w:t>
      </w:r>
      <w:r>
        <w:rPr>
          <w:rFonts w:ascii="Arial" w:hAnsi="Arial"/>
          <w:b w:val="0"/>
          <w:i w:val="0"/>
          <w:sz w:val="28"/>
        </w:rPr>
        <w:t>, en términos del artículo 107, fracciones IV o V, de la Ley de Amparo.</w:t>
      </w:r>
    </w:p>
    <w:p>
      <w:pPr>
        <w:spacing w:line="360" w:lineRule="auto"/>
        <w:jc w:val="both"/>
      </w:pPr>
      <w:r>
        <w:rPr>
          <w:rFonts w:ascii="Arial" w:hAnsi="Arial"/>
          <w:b w:val="0"/>
          <w:i w:val="0"/>
          <w:sz w:val="28"/>
        </w:rPr>
        <w:t>Si el acto no reúne esa calidad, el mismo razonamiento debe hacerse valer como violación procesal al reclamarse la sentencia definitiva, con apoyo en los artículos 171 y 172, fracciones VI y IX, de la Ley de Amparo, sin que ese requisito de preparación sea exigible, conforme al párrafo segundo del artículo 171, cuando el acto afecte derechos de menores de edad o incapaces, el estado civil o el orden o estabilidad de la familia.</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El punto de partida es el contenido del derecho que se dice violado. La doctrina, siguiendo a la Primera Sala de la Suprema Corte de Justicia de la Nación, define la tutela jurisdiccional como el derecho público subjetivo que toda persona tiene, dentro de los plazos y términos que fijen las leyes, para acceder de manera expedita a tribunales independientes e imparciales a plantear una pretensión o a defenderse de ella.</w:t>
      </w:r>
      <w:r>
        <w:rPr>
          <w:rFonts w:ascii="Arial" w:hAnsi="Arial"/>
          <w:vertAlign w:val="superscript"/>
        </w:rPr>
        <w:t>1</w:t>
      </w:r>
    </w:p>
    <w:p>
      <w:pPr>
        <w:spacing w:line="360" w:lineRule="auto"/>
        <w:jc w:val="both"/>
      </w:pPr>
      <w:r>
        <w:rPr>
          <w:rFonts w:ascii="Arial" w:hAnsi="Arial"/>
          <w:b w:val="0"/>
          <w:i w:val="0"/>
          <w:sz w:val="28"/>
        </w:rPr>
        <w:t>La misma doctrina distingue en ese derecho tres etapas, la primera de las cuales es el acceso a la jurisdicción, anterior al juicio y ligada al derecho de acción. La recepción del escrito es el acto material en que esa primera etapa se consuma o se frustra: nada de lo que sigue en el proceso es posible si el documento no ingresa al órgano jurisdiccional.</w:t>
      </w:r>
    </w:p>
    <w:p>
      <w:pPr>
        <w:spacing w:line="360" w:lineRule="auto"/>
        <w:jc w:val="both"/>
      </w:pPr>
      <w:r>
        <w:rPr>
          <w:rFonts w:ascii="Arial" w:hAnsi="Arial"/>
          <w:b w:val="0"/>
          <w:i w:val="0"/>
          <w:sz w:val="28"/>
        </w:rPr>
        <w:t>Ese derecho no es absoluto: la propia Constitución lo sujeta a los plazos y términos que fijen las leyes, y el legislador puede válidamente establecer condiciones organizativas para acudir a los tribunales. Pero la doctrina ha fijado el límite con claridad: es inadmisible que los requisitos de orden procesal debiliten el derecho de acceso a la justicia y se conviertan, de cauce racional, en obstáculo; esas normas deben interpretarse en el sentido más favorable a la admisión de las pretensiones, y no cabe declarar la inadmisibilidad por un defecto que pudo subsanarse si no se dio oportunidad de hacerlo.</w:t>
      </w:r>
      <w:r>
        <w:rPr>
          <w:rFonts w:ascii="Arial" w:hAnsi="Arial"/>
          <w:vertAlign w:val="superscript"/>
        </w:rPr>
        <w:t>2</w:t>
      </w:r>
    </w:p>
    <w:p>
      <w:pPr>
        <w:spacing w:line="360" w:lineRule="auto"/>
        <w:jc w:val="both"/>
      </w:pPr>
      <w:r>
        <w:rPr>
          <w:rFonts w:ascii="Arial" w:hAnsi="Arial"/>
          <w:b w:val="0"/>
          <w:i w:val="0"/>
          <w:sz w:val="28"/>
        </w:rPr>
        <w:t xml:space="preserve">En esa línea se inscribe la jurisprudencia que da sustento a este concepto y que aquí se invoca con todos sus datos. Es la de rubro </w:t>
      </w:r>
      <w:r>
        <w:rPr>
          <w:rFonts w:ascii="Arial" w:hAnsi="Arial"/>
          <w:b w:val="0"/>
          <w:i/>
          <w:sz w:val="28"/>
        </w:rPr>
        <w:t>«FALTA DE DISPONIBILIDAD DE CITAS EN EL SISTEMA ELECTRÓNICO DEL PODER JUDICIAL DE LA CIUDAD DE MÉXICO PARA PRESENTAR ESCRITOS. NO VIOLA EL DERECHO DE ACCESO A LA JUSTICIA, PORQUE EL ACUERDO GENERAL 35-39/2022 DEL PLENO DEL EXTINTO CONSEJO DE LA JUDICATURA LOCAL PREVÉ VÍAS ALTERNAS PARA SU RECEPCIÓN.»</w:t>
      </w:r>
      <w:r>
        <w:rPr>
          <w:rFonts w:ascii="Arial" w:hAnsi="Arial"/>
          <w:b w:val="0"/>
          <w:i w:val="0"/>
          <w:sz w:val="28"/>
        </w:rPr>
        <w:t>, clave PR.A.C.CN. J/45 A (12a.), sustentada por el Pleno Regional en Materias Administrativa y Civil de la Región Centro-Norte, con residencia en la Ciudad de México, instancia Plenos Regionales.</w:t>
      </w:r>
    </w:p>
    <w:p>
      <w:pPr>
        <w:spacing w:line="360" w:lineRule="auto"/>
        <w:jc w:val="both"/>
      </w:pPr>
      <w:r>
        <w:rPr>
          <w:rFonts w:ascii="Arial" w:hAnsi="Arial"/>
          <w:b w:val="0"/>
          <w:i w:val="0"/>
          <w:sz w:val="28"/>
        </w:rPr>
        <w:t>Dicha jurisprudencia, con registro digital 2032560, derivó de la contradicción de criterios 14/2026 y fue publicada en el Semanario Judicial de la Federación el viernes 28 de agosto de 2026, por lo que es de aplicación obligatoria a partir del lunes 31 de agosto de 2026 y, conforme al artículo 217, párrafo segundo, de la Ley de Amparo, vincula a todas las autoridades jurisdiccionales de la región Centro-Norte, a la que pertenece la Ciudad de México. Su criterio jurídico es el siguiente:</w:t>
      </w:r>
    </w:p>
    <w:p>
      <w:pPr>
        <w:spacing w:line="360" w:lineRule="auto"/>
        <w:jc w:val="both"/>
      </w:pPr>
      <w:r>
        <w:rPr>
          <w:rFonts w:ascii="Arial" w:hAnsi="Arial"/>
          <w:b w:val="0"/>
          <w:i/>
          <w:sz w:val="28"/>
        </w:rPr>
        <w:t>«La falta de disponibilidad de citas en el sistema electrónico del Poder Judicial de la Ciudad de México para la recepción física de escritos iniciales y promociones no viola el derecho de acceso a la justicia, pues esa restricción tecnológica se encuentra subsanada constitucionalmente por la existencia de vías alternas de atención presencial e inmediata reguladas en el referido Acuerdo General 35-39/2022.»</w:t>
      </w:r>
    </w:p>
    <w:p>
      <w:pPr>
        <w:spacing w:line="360" w:lineRule="auto"/>
        <w:jc w:val="both"/>
      </w:pPr>
      <w:r>
        <w:rPr>
          <w:rFonts w:ascii="Arial" w:hAnsi="Arial"/>
          <w:b w:val="0"/>
          <w:i w:val="0"/>
          <w:sz w:val="28"/>
        </w:rPr>
        <w:t xml:space="preserve">Conviene ser exactos sobre lo que el Pleno Regional resolvió, porque de esa exactitud depende la fuerza de este concepto. El Pleno no dijo que la saturación del portal sea irrelevante para el acceso a la justicia; dijo que esa saturación queda </w:t>
      </w:r>
      <w:r>
        <w:rPr>
          <w:rFonts w:ascii="Arial" w:hAnsi="Arial"/>
          <w:b w:val="0"/>
          <w:i/>
          <w:sz w:val="28"/>
        </w:rPr>
        <w:t>«subsanada»</w:t>
      </w:r>
      <w:r>
        <w:rPr>
          <w:rFonts w:ascii="Arial" w:hAnsi="Arial"/>
          <w:b w:val="0"/>
          <w:i w:val="0"/>
          <w:sz w:val="28"/>
        </w:rPr>
        <w:t xml:space="preserve"> por la existencia de vías alternas.</w:t>
      </w:r>
    </w:p>
    <w:p>
      <w:pPr>
        <w:spacing w:line="360" w:lineRule="auto"/>
        <w:jc w:val="both"/>
      </w:pPr>
      <w:r>
        <w:rPr>
          <w:rFonts w:ascii="Arial" w:hAnsi="Arial"/>
          <w:b w:val="0"/>
          <w:i w:val="0"/>
          <w:sz w:val="28"/>
        </w:rPr>
        <w:t>En su justificación explicó que el acuerdo general implanta un esquema de recepción híbrido y optativo, que junto al sistema de citas de su artículo 18 garantiza la operación paralela del Módulo de Turno de Atención a Usuario previsto en su artículo 17, mecanismo que permite a quien no logró agendar cita acudir físicamente a la Oficialía de Partes Común, obtener una ficha y entregar su documentación el mismo día.</w:t>
      </w:r>
    </w:p>
    <w:p>
      <w:pPr>
        <w:spacing w:line="360" w:lineRule="auto"/>
        <w:jc w:val="both"/>
      </w:pPr>
      <w:r>
        <w:rPr>
          <w:rFonts w:ascii="Arial" w:hAnsi="Arial"/>
          <w:b w:val="0"/>
          <w:i w:val="0"/>
          <w:sz w:val="28"/>
        </w:rPr>
        <w:t xml:space="preserve">El Pleno fue todavía más explícito al enunciar el parámetro constitucional que aplicó: una limitación o exigencia tecnológica no configura una barrera inconstitucional si el ordenamiento provee vías físicas alternas </w:t>
      </w:r>
      <w:r>
        <w:rPr>
          <w:rFonts w:ascii="Arial" w:hAnsi="Arial"/>
          <w:b w:val="0"/>
          <w:i/>
          <w:sz w:val="28"/>
        </w:rPr>
        <w:t>«reales y accesibles»</w:t>
      </w:r>
      <w:r>
        <w:rPr>
          <w:rFonts w:ascii="Arial" w:hAnsi="Arial"/>
          <w:b w:val="0"/>
          <w:i w:val="0"/>
          <w:sz w:val="28"/>
        </w:rPr>
        <w:t xml:space="preserve">, de modo que la eventual saturación del portal </w:t>
      </w:r>
      <w:r>
        <w:rPr>
          <w:rFonts w:ascii="Arial" w:hAnsi="Arial"/>
          <w:b w:val="0"/>
          <w:i/>
          <w:sz w:val="28"/>
        </w:rPr>
        <w:t>«se neutraliza mediante el módulo de atención directa»</w:t>
      </w:r>
      <w:r>
        <w:rPr>
          <w:rFonts w:ascii="Arial" w:hAnsi="Arial"/>
          <w:b w:val="0"/>
          <w:i w:val="0"/>
          <w:sz w:val="28"/>
        </w:rPr>
        <w:t>.</w:t>
      </w:r>
    </w:p>
    <w:p>
      <w:pPr>
        <w:spacing w:line="360" w:lineRule="auto"/>
        <w:jc w:val="both"/>
      </w:pPr>
      <w:r>
        <w:rPr>
          <w:rFonts w:ascii="Arial" w:hAnsi="Arial"/>
          <w:b w:val="0"/>
          <w:i w:val="0"/>
          <w:sz w:val="28"/>
        </w:rPr>
        <w:t>La razón de decidir es, pues, condicional. La constitucionalidad del sistema de citas no es un atributo propio, sino prestado: lo toma de la existencia y del funcionamiento efectivo de la vía alterna. Donde la vía alterna no operó, la neutralización no ocurrió y el juicio de constitucionalidad pierde su premisa.</w:t>
      </w:r>
    </w:p>
    <w:p>
      <w:pPr>
        <w:spacing w:line="360" w:lineRule="auto"/>
        <w:jc w:val="both"/>
      </w:pPr>
      <w:r>
        <w:rPr>
          <w:rFonts w:ascii="Arial" w:hAnsi="Arial"/>
          <w:b w:val="0"/>
          <w:i w:val="0"/>
          <w:sz w:val="28"/>
        </w:rPr>
        <w:t xml:space="preserve">Este entendimiento es coherente con el modo en que el legislador federal trata a los sistemas electrónicos de recepción. El artículo 3o. de la Ley de Amparo dispone que la presentación electrónica de promociones es opcional y que </w:t>
      </w:r>
      <w:r>
        <w:rPr>
          <w:rFonts w:ascii="Arial" w:hAnsi="Arial"/>
          <w:b w:val="0"/>
          <w:i/>
          <w:sz w:val="28"/>
        </w:rPr>
        <w:t>«en ningún supuesto podrá condicionarse el acceso al procedimiento a la utilización de medios digitales»</w:t>
      </w:r>
      <w:r>
        <w:rPr>
          <w:rFonts w:ascii="Arial" w:hAnsi="Arial"/>
          <w:b w:val="0"/>
          <w:i w:val="0"/>
          <w:sz w:val="28"/>
        </w:rPr>
        <w:t xml:space="preserve"> cuando la persona eligió promover por escrito.</w:t>
      </w:r>
    </w:p>
    <w:p>
      <w:pPr>
        <w:spacing w:line="360" w:lineRule="auto"/>
        <w:jc w:val="both"/>
      </w:pPr>
      <w:r>
        <w:rPr>
          <w:rFonts w:ascii="Arial" w:hAnsi="Arial"/>
          <w:b w:val="0"/>
          <w:i w:val="0"/>
          <w:sz w:val="28"/>
        </w:rPr>
        <w:t>El mismo precepto añade que, cuando por caso fortuito, fuerza mayor o fallas técnicas se interrumpe el sistema haciendo imposible la recepción de promociones dentro de los plazos, éstos se suspenden por el tiempo que dure la interrupción. Aunque esa ley no rige el juicio de origen, expresa un principio del sistema: la falla del instrumento estatal de recepción no se traslada como carga a la persona justiciable.</w:t>
      </w:r>
    </w:p>
    <w:p>
      <w:pPr>
        <w:spacing w:line="360" w:lineRule="auto"/>
        <w:jc w:val="both"/>
      </w:pPr>
      <w:r>
        <w:rPr>
          <w:rFonts w:ascii="Arial" w:hAnsi="Arial"/>
          <w:b w:val="0"/>
          <w:i w:val="0"/>
          <w:sz w:val="28"/>
        </w:rPr>
        <w:t>Lo anterior enlaza con la noción de carga procesal. La doctrina la explica, con Goldschmidt y Couture, como un imperativo del propio interés: la parte no está obligada frente a nadie a promover en plazo, pero si desaprovecha la ocasión o descuida la carga, su derecho puede aniquilarse.</w:t>
      </w:r>
      <w:r>
        <w:rPr>
          <w:rFonts w:ascii="Arial" w:hAnsi="Arial"/>
          <w:vertAlign w:val="superscript"/>
        </w:rPr>
        <w:t>3</w:t>
      </w:r>
      <w:r>
        <w:rPr>
          <w:rFonts w:ascii="Arial" w:hAnsi="Arial"/>
          <w:b w:val="0"/>
          <w:i w:val="0"/>
          <w:sz w:val="28"/>
        </w:rPr>
        <w:t xml:space="preserve"> La preclusión sanciona, así, el descuido y la inactividad, y presupone que la ocasión existió y estuvo al alcance de la parte.</w:t>
      </w:r>
    </w:p>
    <w:p>
      <w:pPr>
        <w:spacing w:line="360" w:lineRule="auto"/>
        <w:jc w:val="both"/>
      </w:pPr>
      <w:r>
        <w:rPr>
          <w:rFonts w:ascii="Arial" w:hAnsi="Arial"/>
          <w:b w:val="0"/>
          <w:i w:val="0"/>
          <w:sz w:val="28"/>
        </w:rPr>
        <w:t>Cuando quien impide aprovechar la ocasión es el propio órgano que debe recibir el escrito, no hay carga desatendida sino carga imposible, y la consecuencia preclusiva carece de la razón que la justifica. Nadie puede ser sancionado procesalmente por no hacer lo que el propio Estado le impidió hacer.</w:t>
      </w:r>
    </w:p>
    <w:p>
      <w:pPr>
        <w:spacing w:line="360" w:lineRule="auto"/>
        <w:jc w:val="both"/>
      </w:pPr>
      <w:r>
        <w:rPr>
          <w:rFonts w:ascii="Arial" w:hAnsi="Arial"/>
          <w:b w:val="0"/>
          <w:i w:val="0"/>
          <w:sz w:val="28"/>
        </w:rPr>
        <w:t>De la premisa mayor se obtiene, entonces, una regla operativa para el juzgador de origen: ante el alegato documentado de que ni el sistema de citas ni el Módulo de Turno permitieron entregar el escrito el día de su vencimiento, no puede limitarse a confrontar la fecha del sello de recepción con la del vencimiento del plazo; debe verificar si la vía alterna que sostiene la constitucionalidad del esquema operó en ese día y, en caso negativo, tener por presentada la promoción en la primera fecha en que su recepción fue materialmente posible.</w:t>
      </w:r>
    </w:p>
    <w:p>
      <w:pPr>
        <w:spacing w:line="360" w:lineRule="auto"/>
        <w:jc w:val="both"/>
      </w:pPr>
      <w:r>
        <w:rPr>
          <w:rFonts w:ascii="Arial" w:hAnsi="Arial"/>
          <w:b/>
          <w:sz w:val="28"/>
        </w:rPr>
        <w:t>IV. Aplicación al caso concreto y refutación de la motivación de la responsable.</w:t>
      </w:r>
    </w:p>
    <w:p>
      <w:pPr>
        <w:spacing w:line="360" w:lineRule="auto"/>
        <w:jc w:val="both"/>
      </w:pPr>
      <w:r>
        <w:rPr>
          <w:rFonts w:ascii="Arial" w:hAnsi="Arial"/>
          <w:b w:val="0"/>
          <w:i w:val="0"/>
          <w:sz w:val="28"/>
        </w:rPr>
        <w:t xml:space="preserve">Los hechos acreditados en autos encuadran en la excepción que la jurisprudencia presupone. El plazo para presentar la </w:t>
      </w:r>
      <w:r>
        <w:rPr>
          <w:rFonts w:ascii="Arial" w:hAnsi="Arial"/>
          <w:b/>
          <w:i w:val="0"/>
          <w:sz w:val="28"/>
        </w:rPr>
        <w:t>[PROMOCIÓN O ESCRITO DE QUE SE TRATA]</w:t>
      </w:r>
      <w:r>
        <w:rPr>
          <w:rFonts w:ascii="Arial" w:hAnsi="Arial"/>
          <w:b w:val="0"/>
          <w:i w:val="0"/>
          <w:sz w:val="28"/>
        </w:rPr>
        <w:t xml:space="preserve"> venció el </w:t>
      </w:r>
      <w:r>
        <w:rPr>
          <w:rFonts w:ascii="Arial" w:hAnsi="Arial"/>
          <w:b/>
          <w:i w:val="0"/>
          <w:sz w:val="28"/>
        </w:rPr>
        <w:t>[FECHA DE VENCIMIENTO DEL PLAZO]</w:t>
      </w:r>
      <w:r>
        <w:rPr>
          <w:rFonts w:ascii="Arial" w:hAnsi="Arial"/>
          <w:b w:val="0"/>
          <w:i w:val="0"/>
          <w:sz w:val="28"/>
        </w:rPr>
        <w:t xml:space="preserve">. Durante los días previos, la persona quejosa intentó obtener cita en el sistema electrónico en las fechas y horas que constan en </w:t>
      </w:r>
      <w:r>
        <w:rPr>
          <w:rFonts w:ascii="Arial" w:hAnsi="Arial"/>
          <w:b/>
          <w:i w:val="0"/>
          <w:sz w:val="28"/>
        </w:rPr>
        <w:t>[FECHAS Y HORAS DE LOS INTENTOS DE CITA]</w:t>
      </w:r>
      <w:r>
        <w:rPr>
          <w:rFonts w:ascii="Arial" w:hAnsi="Arial"/>
          <w:b w:val="0"/>
          <w:i w:val="0"/>
          <w:sz w:val="28"/>
        </w:rPr>
        <w:t xml:space="preserve">, sin que el portal ofreciera disponibilidad alguna, como se demuestra con </w:t>
      </w:r>
      <w:r>
        <w:rPr>
          <w:rFonts w:ascii="Arial" w:hAnsi="Arial"/>
          <w:b/>
          <w:i w:val="0"/>
          <w:sz w:val="28"/>
        </w:rPr>
        <w:t>[PRUEBAS DE LA IMPOSIBILIDAD]</w:t>
      </w:r>
      <w:r>
        <w:rPr>
          <w:rFonts w:ascii="Arial" w:hAnsi="Arial"/>
          <w:b w:val="0"/>
          <w:i w:val="0"/>
          <w:sz w:val="28"/>
        </w:rPr>
        <w:t>.</w:t>
      </w:r>
    </w:p>
    <w:p>
      <w:pPr>
        <w:spacing w:line="360" w:lineRule="auto"/>
        <w:jc w:val="both"/>
      </w:pPr>
      <w:r>
        <w:rPr>
          <w:rFonts w:ascii="Arial" w:hAnsi="Arial"/>
          <w:b w:val="0"/>
          <w:i w:val="0"/>
          <w:sz w:val="28"/>
        </w:rPr>
        <w:t xml:space="preserve">Ante ello, la persona quejosa hizo exactamente lo que la jurisprudencia y el artículo 17 del Acuerdo General 35-39/2022 le indicaban: el </w:t>
      </w:r>
      <w:r>
        <w:rPr>
          <w:rFonts w:ascii="Arial" w:hAnsi="Arial"/>
          <w:b/>
          <w:i w:val="0"/>
          <w:sz w:val="28"/>
        </w:rPr>
        <w:t>[FECHA DE ACUDIR AL MÓDULO DE TURNO]</w:t>
      </w:r>
      <w:r>
        <w:rPr>
          <w:rFonts w:ascii="Arial" w:hAnsi="Arial"/>
          <w:b w:val="0"/>
          <w:i w:val="0"/>
          <w:sz w:val="28"/>
        </w:rPr>
        <w:t xml:space="preserve"> acudió físicamente a la Oficialía de Partes Común para obtener una ficha del Módulo de Turno de Atención a Usuario y entregar su escrito el mismo día. Sin embargo, </w:t>
      </w:r>
      <w:r>
        <w:rPr>
          <w:rFonts w:ascii="Arial" w:hAnsi="Arial"/>
          <w:b/>
          <w:i w:val="0"/>
          <w:sz w:val="28"/>
        </w:rPr>
        <w:t>[LO OCURRIDO EN EL MÓDULO DE TURNO]</w:t>
      </w:r>
      <w:r>
        <w:rPr>
          <w:rFonts w:ascii="Arial" w:hAnsi="Arial"/>
          <w:b w:val="0"/>
          <w:i w:val="0"/>
          <w:sz w:val="28"/>
        </w:rPr>
        <w:t>, de manera que la vía alterna no operó y el escrito no pudo ser recibido.</w:t>
      </w:r>
    </w:p>
    <w:p>
      <w:pPr>
        <w:spacing w:line="360" w:lineRule="auto"/>
        <w:jc w:val="both"/>
      </w:pPr>
      <w:r>
        <w:rPr>
          <w:rFonts w:ascii="Arial" w:hAnsi="Arial"/>
          <w:b w:val="0"/>
          <w:i w:val="0"/>
          <w:sz w:val="28"/>
        </w:rPr>
        <w:t xml:space="preserve">La promoción se presentó el </w:t>
      </w:r>
      <w:r>
        <w:rPr>
          <w:rFonts w:ascii="Arial" w:hAnsi="Arial"/>
          <w:b/>
          <w:i w:val="0"/>
          <w:sz w:val="28"/>
        </w:rPr>
        <w:t>[FECHA DE PRESENTACIÓN EFECTIVA DE LA PROMOCIÓN]</w:t>
      </w:r>
      <w:r>
        <w:rPr>
          <w:rFonts w:ascii="Arial" w:hAnsi="Arial"/>
          <w:b w:val="0"/>
          <w:i w:val="0"/>
          <w:sz w:val="28"/>
        </w:rPr>
        <w:t>, primera fecha en que su recepción fue posible, y en ella se hizo constar, bajo protesta de decir verdad y con los elementos de convicción respectivos, la imposibilidad descrita. La responsable tuvo así, desde el primer momento, el alegato y las pruebas que le imponían verificar el funcionamiento de la vía alterna antes de resolver sobre la oportunidad.</w:t>
      </w:r>
    </w:p>
    <w:p>
      <w:pPr>
        <w:spacing w:line="360" w:lineRule="auto"/>
        <w:jc w:val="both"/>
      </w:pPr>
      <w:r>
        <w:rPr>
          <w:rFonts w:ascii="Arial" w:hAnsi="Arial"/>
          <w:b w:val="0"/>
          <w:i w:val="0"/>
          <w:sz w:val="28"/>
        </w:rPr>
        <w:t>Pese a ello, el auto reclamado se limitó a confrontar la fecha del sello de recepción con la del vencimiento y concluyó que la promoción era extemporánea, sin pronunciarse sobre las constancias de la imposibilidad ni sobre el funcionamiento del Módulo de Turno ese día. La subsunción es directa: la responsable aplicó la consecuencia preclusiva a un caso en que la ocasión procesal no estuvo al alcance de la parte por causa atribuible al propio Poder Judicial local, lo que actualiza la violación al artículo 17 constitucional.</w:t>
      </w:r>
    </w:p>
    <w:p>
      <w:pPr>
        <w:spacing w:line="360" w:lineRule="auto"/>
        <w:jc w:val="both"/>
      </w:pPr>
      <w:r>
        <w:rPr>
          <w:rFonts w:ascii="Arial" w:hAnsi="Arial"/>
          <w:b w:val="0"/>
          <w:i w:val="0"/>
          <w:sz w:val="28"/>
        </w:rPr>
        <w:t>El razonamiento de la responsable es lógicamente inválido por tres motivos. En primer lugar, incurre en la falacia que la doctrina de la argumentación llama secundum quid o falacia del accidente, que consiste en aplicar rígidamente una regla como si no existieran excepciones, olvidando que en el caso particular puede darse una circunstancia especial que la haga inaplicable.</w:t>
      </w:r>
      <w:r>
        <w:rPr>
          <w:rFonts w:ascii="Arial" w:hAnsi="Arial"/>
          <w:vertAlign w:val="superscript"/>
        </w:rPr>
        <w:t>4</w:t>
      </w:r>
    </w:p>
    <w:p>
      <w:pPr>
        <w:spacing w:line="360" w:lineRule="auto"/>
        <w:jc w:val="both"/>
      </w:pPr>
      <w:r>
        <w:rPr>
          <w:rFonts w:ascii="Arial" w:hAnsi="Arial"/>
          <w:b w:val="0"/>
          <w:i w:val="0"/>
          <w:sz w:val="28"/>
        </w:rPr>
        <w:t>La regla del plazo y la regla de la jurisprudencia son orientaciones generales: la primera presupone que la recepción fue posible; la segunda presupone que la vía alterna operó. Aplicarlas como absolutas, sin verificar sus presupuestos, es el mal uso de la generalización que esa falacia describe, y conduce a sancionar precisamente el caso que las reglas no quisieron alcanzar.</w:t>
      </w:r>
    </w:p>
    <w:p>
      <w:pPr>
        <w:spacing w:line="360" w:lineRule="auto"/>
        <w:jc w:val="both"/>
      </w:pPr>
      <w:r>
        <w:rPr>
          <w:rFonts w:ascii="Arial" w:hAnsi="Arial"/>
          <w:b w:val="0"/>
          <w:i w:val="0"/>
          <w:sz w:val="28"/>
        </w:rPr>
        <w:t>En segundo lugar, si la responsable hubiera razonado que la falta de citas no la afecta porque el acuerdo general prevé el Módulo de Turno, habría incurrido en petición de principio, vicio que consiste en utilizar como premisa lo mismo que afirma la conclusión o algo cuya verdad no está probada.</w:t>
      </w:r>
      <w:r>
        <w:rPr>
          <w:rFonts w:ascii="Arial" w:hAnsi="Arial"/>
          <w:vertAlign w:val="superscript"/>
        </w:rPr>
        <w:t>5</w:t>
      </w:r>
    </w:p>
    <w:p>
      <w:pPr>
        <w:spacing w:line="360" w:lineRule="auto"/>
        <w:jc w:val="both"/>
      </w:pPr>
      <w:r>
        <w:rPr>
          <w:rFonts w:ascii="Arial" w:hAnsi="Arial"/>
          <w:b w:val="0"/>
          <w:i w:val="0"/>
          <w:sz w:val="28"/>
        </w:rPr>
        <w:t xml:space="preserve">Lo que debía verificarse era si el Módulo de Turno operó el </w:t>
      </w:r>
      <w:r>
        <w:rPr>
          <w:rFonts w:ascii="Arial" w:hAnsi="Arial"/>
          <w:b/>
          <w:i w:val="0"/>
          <w:sz w:val="28"/>
        </w:rPr>
        <w:t>[FECHA DE ACUDIR AL MÓDULO DE TURNO]</w:t>
      </w:r>
      <w:r>
        <w:rPr>
          <w:rFonts w:ascii="Arial" w:hAnsi="Arial"/>
          <w:b w:val="0"/>
          <w:i w:val="0"/>
          <w:sz w:val="28"/>
        </w:rPr>
        <w:t xml:space="preserve">; darlo por operante porque la norma lo prevé es sentar como premisa aquello mismo que estaba en discusión. La previsión normativa de una vía no equivale a su funcionamiento, y la jurisprudencia exige vías </w:t>
      </w:r>
      <w:r>
        <w:rPr>
          <w:rFonts w:ascii="Arial" w:hAnsi="Arial"/>
          <w:b w:val="0"/>
          <w:i/>
          <w:sz w:val="28"/>
        </w:rPr>
        <w:t>«reales y accesibles»</w:t>
      </w:r>
      <w:r>
        <w:rPr>
          <w:rFonts w:ascii="Arial" w:hAnsi="Arial"/>
          <w:b w:val="0"/>
          <w:i w:val="0"/>
          <w:sz w:val="28"/>
        </w:rPr>
        <w:t>, no vías escritas.</w:t>
      </w:r>
    </w:p>
    <w:p>
      <w:pPr>
        <w:spacing w:line="360" w:lineRule="auto"/>
        <w:jc w:val="both"/>
      </w:pPr>
      <w:r>
        <w:rPr>
          <w:rFonts w:ascii="Arial" w:hAnsi="Arial"/>
          <w:b w:val="0"/>
          <w:i w:val="0"/>
          <w:sz w:val="28"/>
        </w:rPr>
        <w:t>En tercer lugar, la responsable invirtió la carga de la prueba en perjuicio de la parte más débil de la relación probatoria. La doctrina distingue la carga de argumentar de la carga de probar y advierte que quien sostiene un hecho negativo tiene el deber de exponer sus razones, pero no el de demostrar lo que nunca sucedió, pues eso es imposible; corresponde a quien tiene el interés contrario acreditar que el hecho sí ocurrió.</w:t>
      </w:r>
      <w:r>
        <w:rPr>
          <w:rFonts w:ascii="Arial" w:hAnsi="Arial"/>
          <w:vertAlign w:val="superscript"/>
        </w:rPr>
        <w:t>6</w:t>
      </w:r>
    </w:p>
    <w:p>
      <w:pPr>
        <w:spacing w:line="360" w:lineRule="auto"/>
        <w:jc w:val="both"/>
      </w:pPr>
      <w:r>
        <w:rPr>
          <w:rFonts w:ascii="Arial" w:hAnsi="Arial"/>
          <w:b w:val="0"/>
          <w:i w:val="0"/>
          <w:sz w:val="28"/>
        </w:rPr>
        <w:t>La persona quejosa aportó los indicios a su alcance; los registros del sistema de citas y del Módulo de Turno los administra el Poder Judicial de la Ciudad de México, que es quien está en aptitud de demostrar que ese día la vía alterna funcionó. Por ello se solicita al Juzgado de Distrito que requiera a las autoridades responsables el informe y los registros correspondientes a esa fecha, pues son ellas quienes los tienen bajo su control.</w:t>
      </w:r>
    </w:p>
    <w:p>
      <w:pPr>
        <w:spacing w:line="360" w:lineRule="auto"/>
        <w:jc w:val="both"/>
      </w:pPr>
      <w:r>
        <w:rPr>
          <w:rFonts w:ascii="Arial" w:hAnsi="Arial"/>
          <w:b w:val="0"/>
          <w:i w:val="0"/>
          <w:sz w:val="28"/>
        </w:rPr>
        <w:t>Debe subrayarse, para evitar toda confusión, lo que este concepto no sostiene. No se afirma que la falta de citas electrónicas viole por sí sola el derecho de acceso a la justicia, pues la jurisprudencia PR.A.C.CN. J/45 A (12a.) resolvió lo contrario y esa decisión se acata. Tampoco se pide dispensa de plazos ni se alega desconocimiento del esquema de recepción.</w:t>
      </w:r>
    </w:p>
    <w:p>
      <w:pPr>
        <w:spacing w:line="360" w:lineRule="auto"/>
        <w:jc w:val="both"/>
      </w:pPr>
      <w:r>
        <w:rPr>
          <w:rFonts w:ascii="Arial" w:hAnsi="Arial"/>
          <w:b w:val="0"/>
          <w:i w:val="0"/>
          <w:sz w:val="28"/>
        </w:rPr>
        <w:t>Se sostiene algo distinto y compatible con el criterio obligatorio: que la persona quejosa transitó las dos vías que el esquema ofrece, que la vía alterna que lo hace constitucional no operó, y que en esa hipótesis la consecuencia preclusiva se impuso sin el presupuesto fáctico que la jurisprudencia exige.</w:t>
      </w:r>
    </w:p>
    <w:p>
      <w:pPr>
        <w:spacing w:line="360" w:lineRule="auto"/>
        <w:jc w:val="both"/>
      </w:pPr>
      <w:r>
        <w:rPr>
          <w:rFonts w:ascii="Arial" w:hAnsi="Arial"/>
          <w:b w:val="0"/>
          <w:i w:val="0"/>
          <w:sz w:val="28"/>
        </w:rPr>
        <w:t>La consecuencia de aceptar la postura de la responsable revela por sí sola el error: si bastara la previsión abstracta del Módulo de Turno para tener por subsanada cualquier falla del sistema, la vía alterna podría dejar de funcionar sin consecuencia alguna para el Estado y con pérdida definitiva de derechos para las personas justiciables.</w:t>
      </w:r>
    </w:p>
    <w:p>
      <w:pPr>
        <w:spacing w:line="360" w:lineRule="auto"/>
        <w:jc w:val="both"/>
      </w:pPr>
      <w:r>
        <w:rPr>
          <w:rFonts w:ascii="Arial" w:hAnsi="Arial"/>
          <w:b w:val="0"/>
          <w:i w:val="0"/>
          <w:sz w:val="28"/>
        </w:rPr>
        <w:t>El acceso a la justicia se convertiría en la apariencia de justicia que la doctrina describe como instrumento ineficaz, y la jurisprudencia que exige vías reales y accesibles quedaría reducida a una fórmula sin contenido. Ninguna interpretación que produzca ese resultado puede reputarse conforme con el artículo 17 constitucional.</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el derecho de acceso a la justicia admite condiciones organizativas, y el sistema de citas del Poder Judicial de la Ciudad de México es una de ellas, constitucionalmente válida en tanto opere la vía alterna del Módulo de Turno que la jurisprudencia obligatoria identifica como su presupuesto. En el caso, la persona quejosa agotó ambas vías el día del vencimiento y ninguna le permitió entregar su escrito; la responsable, sin verificar ese hecho, aplicó la regla general a la excepción y decretó una preclusión sin la razón que la justifica.</w:t>
      </w:r>
    </w:p>
    <w:p>
      <w:pPr>
        <w:spacing w:line="360" w:lineRule="auto"/>
        <w:jc w:val="both"/>
      </w:pPr>
      <w:r>
        <w:rPr>
          <w:rFonts w:ascii="Arial" w:hAnsi="Arial"/>
          <w:b w:val="0"/>
          <w:i w:val="0"/>
          <w:sz w:val="28"/>
        </w:rPr>
        <w:t xml:space="preserve">Por lo expuesto, procede declarar fundado el presente concepto de violación y conceder el amparo y la protección de la Justicia Federal para el efecto de que el </w:t>
      </w:r>
      <w:r>
        <w:rPr>
          <w:rFonts w:ascii="Arial" w:hAnsi="Arial"/>
          <w:b/>
          <w:i w:val="0"/>
          <w:sz w:val="28"/>
        </w:rPr>
        <w:t>[JUZGADO RESPONSABLE]</w:t>
      </w:r>
      <w:r>
        <w:rPr>
          <w:rFonts w:ascii="Arial" w:hAnsi="Arial"/>
          <w:b w:val="0"/>
          <w:i w:val="0"/>
          <w:sz w:val="28"/>
        </w:rPr>
        <w:t xml:space="preserve"> deje insubsistente el auto de </w:t>
      </w:r>
      <w:r>
        <w:rPr>
          <w:rFonts w:ascii="Arial" w:hAnsi="Arial"/>
          <w:b/>
          <w:i w:val="0"/>
          <w:sz w:val="28"/>
        </w:rPr>
        <w:t>[FECHA DEL AUTO RECLAMADO]</w:t>
      </w:r>
      <w:r>
        <w:rPr>
          <w:rFonts w:ascii="Arial" w:hAnsi="Arial"/>
          <w:b w:val="0"/>
          <w:i w:val="0"/>
          <w:sz w:val="28"/>
        </w:rPr>
        <w:t xml:space="preserve">, analice las constancias relativas a la imposibilidad de presentación y, de resultar acreditada la falta de operación del Módulo de Turno de Atención a Usuario en la fecha señalada, tenga por oportunamente presentada la </w:t>
      </w:r>
      <w:r>
        <w:rPr>
          <w:rFonts w:ascii="Arial" w:hAnsi="Arial"/>
          <w:b/>
          <w:i w:val="0"/>
          <w:sz w:val="28"/>
        </w:rPr>
        <w:t>[PROMOCIÓN O ESCRITO DE QUE SE TRATA]</w:t>
      </w:r>
      <w:r>
        <w:rPr>
          <w:rFonts w:ascii="Arial" w:hAnsi="Arial"/>
          <w:b w:val="0"/>
          <w:i w:val="0"/>
          <w:sz w:val="28"/>
        </w:rPr>
        <w:t xml:space="preserve"> y provea sobre ella conforme a derecho, en términos del artículo 77, fracción I, de la Ley de Amparo.</w:t>
      </w:r>
    </w:p>
    <w:p>
      <w:pPr>
        <w:spacing w:line="360" w:lineRule="auto"/>
        <w:jc w:val="both"/>
      </w:pPr>
      <w:r>
        <w:rPr>
          <w:rFonts w:ascii="Arial" w:hAnsi="Arial"/>
          <w:b w:val="0"/>
          <w:i w:val="0"/>
          <w:sz w:val="28"/>
        </w:rPr>
        <w:t>Se solicita el estudio preferente de este concepto, pues su acogimiento restituye a la persona quejosa en la etapa procesal perdida y le otorga el mayor beneficio posible, al hacer innecesario el examen de los planteamientos restantes.</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8.</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 p. 336.</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200.</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84.</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GARCÍA DAMBORENEA, op. cit.</w:t>
      </w:r>
      <w:r>
        <w:rPr>
          <w:rFonts w:ascii="Arial" w:hAnsi="Arial"/>
          <w:i w:val="0"/>
          <w:sz w:val="20"/>
        </w:rPr>
        <w:t>, p. 73.</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 xml:space="preserve">SÁNCHEZ GIL, Rubén, </w:t>
      </w:r>
      <w:r>
        <w:rPr>
          <w:rFonts w:ascii="Arial" w:hAnsi="Arial"/>
          <w:i/>
          <w:sz w:val="20"/>
        </w:rPr>
        <w:t>El principio de proporcionalidad</w:t>
      </w:r>
      <w:r>
        <w:rPr>
          <w:rFonts w:ascii="Arial" w:hAnsi="Arial"/>
          <w:i w:val="0"/>
          <w:sz w:val="20"/>
        </w:rPr>
        <w:t>, Universidad Nacional Autónoma de México, México, 2007, p. 89.</w:t>
      </w:r>
    </w:p>
    <w:p/>
    <w:p>
      <w:r>
        <w:rPr>
          <w:rFonts w:ascii="Arial" w:hAnsi="Arial"/>
          <w:b/>
          <w:sz w:val="22"/>
        </w:rPr>
        <w:t>BIBLIOGRAFÍA</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w:t>
      </w:r>
    </w:p>
    <w:p>
      <w:pPr>
        <w:spacing w:after="60"/>
        <w:ind w:left="360" w:hanging="360"/>
        <w:jc w:val="both"/>
      </w:pPr>
      <w:r>
        <w:rPr>
          <w:rFonts w:ascii="Arial" w:hAnsi="Arial"/>
          <w:i w:val="0"/>
          <w:sz w:val="20"/>
        </w:rPr>
        <w:t xml:space="preserve">SÁNCHEZ GIL, Rubén, </w:t>
      </w:r>
      <w:r>
        <w:rPr>
          <w:rFonts w:ascii="Arial" w:hAnsi="Arial"/>
          <w:i/>
          <w:sz w:val="20"/>
        </w:rPr>
        <w:t>El principio de proporcionalidad</w:t>
      </w:r>
      <w:r>
        <w:rPr>
          <w:rFonts w:ascii="Arial" w:hAnsi="Arial"/>
          <w:i w:val="0"/>
          <w:sz w:val="20"/>
        </w:rPr>
        <w:t>, Universidad Nacional Autónoma de México, México, 2007.</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