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PRUEBAS EXIGIDAS COMO REQUISITO DE PROCEDIBILIDAD EN CONFLICTOS DE SEGURIDAD SOCIAL</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 la demanda de amparo directo. Primero reconstruye la secuencia procesal con las constancias del expediente laboral: la demanda y las pruebas que se acompañaron, la prevención con el documento exigido y el precepto en que se apoyó, el acuerdo que tuvo la demanda por no presentada y su fecha de notificación.</w:t>
      </w:r>
    </w:p>
    <w:p>
      <w:pPr>
        <w:spacing w:line="360" w:lineRule="auto"/>
        <w:jc w:val="both"/>
      </w:pPr>
      <w:r>
        <w:rPr>
          <w:rFonts w:ascii="Arial" w:hAnsi="Arial"/>
          <w:b w:val="0"/>
          <w:i w:val="0"/>
          <w:sz w:val="24"/>
        </w:rPr>
        <w:t>Después llena los campos editables, elimina el párrafo sobre la Región Centro-Sur si tu tribunal pertenece a ella, y revisa la oportunidad: la demanda de amparo directo se presenta por conducto del tribunal laboral responsable dentro del plazo que fija la Ley de Amparo, contado desde la notificación del acuerdo.</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[NOMBRE DE LA PERSONA QUEJOSA]</w:t>
      </w:r>
      <w:r>
        <w:rPr>
          <w:rFonts w:ascii="Arial" w:hAnsi="Arial"/>
          <w:b w:val="0"/>
          <w:i w:val="0"/>
          <w:sz w:val="24"/>
        </w:rPr>
        <w:t>: la persona trabajadora, pensionada o beneficiaria que promovió el juicio laboral.</w:t>
      </w:r>
    </w:p>
    <w:p>
      <w:pPr>
        <w:spacing w:line="360" w:lineRule="auto"/>
        <w:jc w:val="both"/>
      </w:pPr>
      <w:r>
        <w:rPr>
          <w:rFonts w:ascii="Arial" w:hAnsi="Arial"/>
          <w:b/>
          <w:i w:val="0"/>
          <w:sz w:val="24"/>
        </w:rPr>
        <w:t>[TRIBUNAL LABORAL RESPONSABLE]</w:t>
      </w:r>
      <w:r>
        <w:rPr>
          <w:rFonts w:ascii="Arial" w:hAnsi="Arial"/>
          <w:b w:val="0"/>
          <w:i w:val="0"/>
          <w:sz w:val="24"/>
        </w:rPr>
        <w:t>: denominación completa del tribunal laboral que dictó el acuerdo reclamado.</w:t>
      </w:r>
    </w:p>
    <w:p>
      <w:pPr>
        <w:spacing w:line="360" w:lineRule="auto"/>
        <w:jc w:val="both"/>
      </w:pPr>
      <w:r>
        <w:rPr>
          <w:rFonts w:ascii="Arial" w:hAnsi="Arial"/>
          <w:b/>
          <w:i w:val="0"/>
          <w:sz w:val="24"/>
        </w:rPr>
        <w:t>[NÚMERO DE EXPEDIENTE LABORAL]</w:t>
      </w:r>
      <w:r>
        <w:rPr>
          <w:rFonts w:ascii="Arial" w:hAnsi="Arial"/>
          <w:b w:val="0"/>
          <w:i w:val="0"/>
          <w:sz w:val="24"/>
        </w:rPr>
        <w:t>: número del expediente del conflicto individual de seguridad social.</w:t>
      </w:r>
    </w:p>
    <w:p>
      <w:pPr>
        <w:spacing w:line="360" w:lineRule="auto"/>
        <w:jc w:val="both"/>
      </w:pPr>
      <w:r>
        <w:rPr>
          <w:rFonts w:ascii="Arial" w:hAnsi="Arial"/>
          <w:b/>
          <w:i w:val="0"/>
          <w:sz w:val="24"/>
        </w:rPr>
        <w:t>[FECHA DEL ACUERDO RECLAMADO]</w:t>
      </w:r>
      <w:r>
        <w:rPr>
          <w:rFonts w:ascii="Arial" w:hAnsi="Arial"/>
          <w:b w:val="0"/>
          <w:i w:val="0"/>
          <w:sz w:val="24"/>
        </w:rPr>
        <w:t>: fecha del acuerdo que tuvo la demanda por no presentada.</w:t>
      </w:r>
    </w:p>
    <w:p>
      <w:pPr>
        <w:spacing w:line="360" w:lineRule="auto"/>
        <w:jc w:val="both"/>
      </w:pPr>
      <w:r>
        <w:rPr>
          <w:rFonts w:ascii="Arial" w:hAnsi="Arial"/>
          <w:b/>
          <w:i w:val="0"/>
          <w:sz w:val="24"/>
        </w:rPr>
        <w:t>[FECHA DE NOTIFICACIÓN DEL ACUERDO RECLAMADO]</w:t>
      </w:r>
      <w:r>
        <w:rPr>
          <w:rFonts w:ascii="Arial" w:hAnsi="Arial"/>
          <w:b w:val="0"/>
          <w:i w:val="0"/>
          <w:sz w:val="24"/>
        </w:rPr>
        <w:t>: fecha en que se notificó ese acuerdo; de ella depende la oportunidad del amparo.</w:t>
      </w:r>
    </w:p>
    <w:p>
      <w:pPr>
        <w:spacing w:line="360" w:lineRule="auto"/>
        <w:jc w:val="both"/>
      </w:pPr>
      <w:r>
        <w:rPr>
          <w:rFonts w:ascii="Arial" w:hAnsi="Arial"/>
          <w:b/>
          <w:i w:val="0"/>
          <w:sz w:val="24"/>
        </w:rPr>
        <w:t>[FECHA DE PRESENTACIÓN DE LA DEMANDA LABORAL]</w:t>
      </w:r>
      <w:r>
        <w:rPr>
          <w:rFonts w:ascii="Arial" w:hAnsi="Arial"/>
          <w:b w:val="0"/>
          <w:i w:val="0"/>
          <w:sz w:val="24"/>
        </w:rPr>
        <w:t>: día en que se presentó la demanda ante el tribunal laboral.</w:t>
      </w:r>
    </w:p>
    <w:p>
      <w:pPr>
        <w:spacing w:line="360" w:lineRule="auto"/>
        <w:jc w:val="both"/>
      </w:pPr>
      <w:r>
        <w:rPr>
          <w:rFonts w:ascii="Arial" w:hAnsi="Arial"/>
          <w:b/>
          <w:i w:val="0"/>
          <w:sz w:val="24"/>
        </w:rPr>
        <w:t>[ORGANISMO O AFORE DEMANDADA]</w:t>
      </w:r>
      <w:r>
        <w:rPr>
          <w:rFonts w:ascii="Arial" w:hAnsi="Arial"/>
          <w:b w:val="0"/>
          <w:i w:val="0"/>
          <w:sz w:val="24"/>
        </w:rPr>
        <w:t>: IMSS, Infonavit, Afore u organismo contra el que se demandó.</w:t>
      </w:r>
    </w:p>
    <w:p>
      <w:pPr>
        <w:spacing w:line="360" w:lineRule="auto"/>
        <w:jc w:val="both"/>
      </w:pPr>
      <w:r>
        <w:rPr>
          <w:rFonts w:ascii="Arial" w:hAnsi="Arial"/>
          <w:b/>
          <w:i w:val="0"/>
          <w:sz w:val="24"/>
        </w:rPr>
        <w:t>[PRESTACIÓN RECLAMADA]</w:t>
      </w:r>
      <w:r>
        <w:rPr>
          <w:rFonts w:ascii="Arial" w:hAnsi="Arial"/>
          <w:b w:val="0"/>
          <w:i w:val="0"/>
          <w:sz w:val="24"/>
        </w:rPr>
        <w:t>: la prestación de seguridad social reclamada, por ejemplo la devolución de los recursos de la cuenta individual y sus rendimientos.</w:t>
      </w:r>
    </w:p>
    <w:p>
      <w:pPr>
        <w:spacing w:line="360" w:lineRule="auto"/>
        <w:jc w:val="both"/>
      </w:pPr>
      <w:r>
        <w:rPr>
          <w:rFonts w:ascii="Arial" w:hAnsi="Arial"/>
          <w:b/>
          <w:i w:val="0"/>
          <w:sz w:val="24"/>
        </w:rPr>
        <w:t>[FECHA DE LA PREVENCIÓN]</w:t>
      </w:r>
      <w:r>
        <w:rPr>
          <w:rFonts w:ascii="Arial" w:hAnsi="Arial"/>
          <w:b w:val="0"/>
          <w:i w:val="0"/>
          <w:sz w:val="24"/>
        </w:rPr>
        <w:t>: fecha del acuerdo que previno a la parte actora.</w:t>
      </w:r>
    </w:p>
    <w:p>
      <w:pPr>
        <w:spacing w:line="360" w:lineRule="auto"/>
        <w:jc w:val="both"/>
      </w:pPr>
      <w:r>
        <w:rPr>
          <w:rFonts w:ascii="Arial" w:hAnsi="Arial"/>
          <w:b/>
          <w:i w:val="0"/>
          <w:sz w:val="24"/>
        </w:rPr>
        <w:t>[DOCUMENTO EXIGIDO EN LA PREVENCIÓN]</w:t>
      </w:r>
      <w:r>
        <w:rPr>
          <w:rFonts w:ascii="Arial" w:hAnsi="Arial"/>
          <w:b w:val="0"/>
          <w:i w:val="0"/>
          <w:sz w:val="24"/>
        </w:rPr>
        <w:t>: el documento concreto que el tribunal exigió como prueba de la acción.</w:t>
      </w:r>
    </w:p>
    <w:p>
      <w:pPr>
        <w:spacing w:line="360" w:lineRule="auto"/>
        <w:jc w:val="both"/>
      </w:pPr>
      <w:r>
        <w:rPr>
          <w:rFonts w:ascii="Arial" w:hAnsi="Arial"/>
          <w:b/>
          <w:i w:val="0"/>
          <w:sz w:val="24"/>
        </w:rPr>
        <w:t>[PRECEPTO INVOCADO EN LA PREVENCIÓN]</w:t>
      </w:r>
      <w:r>
        <w:rPr>
          <w:rFonts w:ascii="Arial" w:hAnsi="Arial"/>
          <w:b w:val="0"/>
          <w:i w:val="0"/>
          <w:sz w:val="24"/>
        </w:rPr>
        <w:t>: el artículo y, en su caso, la fracción que el tribunal citó para prevenir; cópialo textualmente del acuerdo.</w:t>
      </w:r>
    </w:p>
    <w:p>
      <w:pPr>
        <w:spacing w:line="360" w:lineRule="auto"/>
        <w:jc w:val="both"/>
      </w:pPr>
      <w:r>
        <w:rPr>
          <w:rFonts w:ascii="Arial" w:hAnsi="Arial"/>
          <w:b/>
          <w:i w:val="0"/>
          <w:sz w:val="24"/>
        </w:rPr>
        <w:t>[PRUEBAS OFRECIDAS EN LA DEMANDA]</w:t>
      </w:r>
      <w:r>
        <w:rPr>
          <w:rFonts w:ascii="Arial" w:hAnsi="Arial"/>
          <w:b w:val="0"/>
          <w:i w:val="0"/>
          <w:sz w:val="24"/>
        </w:rPr>
        <w:t>: descripción breve de las pruebas que sí se acompañaron a la demanda laboral.</w:t>
      </w:r>
    </w:p>
    <w:p/>
    <w:p>
      <w:pPr>
        <w:spacing w:line="360" w:lineRule="auto"/>
        <w:jc w:val="both"/>
      </w:pPr>
      <w:r>
        <w:rPr>
          <w:rFonts w:ascii="Arial" w:hAnsi="Arial"/>
          <w:b/>
          <w:sz w:val="28"/>
        </w:rPr>
        <w:t>[NÚMERO ORDINAL DEL CONCEPTO] CONCEPTO DE VIOLACIÓN. El acuerdo reclamado tuvo por no presentada la demanda de seguridad social por incumplir una prevención que exigió, como requisito de procedibilidad, el documento que el tribunal consideró la única prueba eficaz de la acción. El artículo 899-C, fracción VIII, de la Ley Federal del Trabajo no confiere esa atribución, según jurisprudencia obligatoria del Pleno Regional, por lo que la resolución viola los artículos 14, 16 y 17 de la Constitución.</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acuerdo de </w:t>
      </w:r>
      <w:r>
        <w:rPr>
          <w:rFonts w:ascii="Arial" w:hAnsi="Arial"/>
          <w:b/>
          <w:i w:val="0"/>
          <w:sz w:val="28"/>
        </w:rPr>
        <w:t>[FECHA DEL ACUERDO RECLAMADO]</w:t>
      </w:r>
      <w:r>
        <w:rPr>
          <w:rFonts w:ascii="Arial" w:hAnsi="Arial"/>
          <w:b w:val="0"/>
          <w:i w:val="0"/>
          <w:sz w:val="28"/>
        </w:rPr>
        <w:t xml:space="preserve">, dictado por el </w:t>
      </w:r>
      <w:r>
        <w:rPr>
          <w:rFonts w:ascii="Arial" w:hAnsi="Arial"/>
          <w:b/>
          <w:i w:val="0"/>
          <w:sz w:val="28"/>
        </w:rPr>
        <w:t>[TRIBUNAL LABORAL RESPONSABLE]</w:t>
      </w:r>
      <w:r>
        <w:rPr>
          <w:rFonts w:ascii="Arial" w:hAnsi="Arial"/>
          <w:b w:val="0"/>
          <w:i w:val="0"/>
          <w:sz w:val="28"/>
        </w:rPr>
        <w:t xml:space="preserve"> en el expediente </w:t>
      </w:r>
      <w:r>
        <w:rPr>
          <w:rFonts w:ascii="Arial" w:hAnsi="Arial"/>
          <w:b/>
          <w:i w:val="0"/>
          <w:sz w:val="28"/>
        </w:rPr>
        <w:t>[NÚMERO DE EXPEDIENTE LABORAL]</w:t>
      </w:r>
      <w:r>
        <w:rPr>
          <w:rFonts w:ascii="Arial" w:hAnsi="Arial"/>
          <w:b w:val="0"/>
          <w:i w:val="0"/>
          <w:sz w:val="28"/>
        </w:rPr>
        <w:t xml:space="preserve">, mediante el cual se tuvo por no presentada la demanda de </w:t>
      </w:r>
      <w:r>
        <w:rPr>
          <w:rFonts w:ascii="Arial" w:hAnsi="Arial"/>
          <w:b/>
          <w:i w:val="0"/>
          <w:sz w:val="28"/>
        </w:rPr>
        <w:t>[NOMBRE DE LA PERSONA QUEJOSA]</w:t>
      </w:r>
      <w:r>
        <w:rPr>
          <w:rFonts w:ascii="Arial" w:hAnsi="Arial"/>
          <w:b w:val="0"/>
          <w:i w:val="0"/>
          <w:sz w:val="28"/>
        </w:rPr>
        <w:t xml:space="preserve"> por no haber exhibido </w:t>
      </w:r>
      <w:r>
        <w:rPr>
          <w:rFonts w:ascii="Arial" w:hAnsi="Arial"/>
          <w:b/>
          <w:i w:val="0"/>
          <w:sz w:val="28"/>
        </w:rPr>
        <w:t>[DOCUMENTO EXIGIDO EN LA PREVENCIÓN]</w:t>
      </w:r>
      <w:r>
        <w:rPr>
          <w:rFonts w:ascii="Arial" w:hAnsi="Arial"/>
          <w:b w:val="0"/>
          <w:i w:val="0"/>
          <w:sz w:val="28"/>
        </w:rPr>
        <w:t>, es una resolución que puso fin al juicio con apoyo en una atribución que la ley no otorga a los tribunales laborales.</w:t>
      </w:r>
    </w:p>
    <w:p>
      <w:pPr>
        <w:spacing w:line="360" w:lineRule="auto"/>
        <w:jc w:val="both"/>
      </w:pPr>
      <w:r>
        <w:rPr>
          <w:rFonts w:ascii="Arial" w:hAnsi="Arial"/>
          <w:b w:val="0"/>
          <w:i w:val="0"/>
          <w:sz w:val="28"/>
        </w:rPr>
        <w:t>La demostración descansa en una premisa normativa ya fijada por jurisprudencia obligatoria: la fracción VIII del artículo 899-C de la Ley Federal del Trabajo reconoce a la parte actora el derecho de acompañar a su demanda las pruebas que estime pertinentes, pero no faculta al tribunal a exigir, como condición de admisión, los documentos que él mismo considere eficaces para acreditar la acción. La idoneidad de la prueba se valora al resolver el fondo, no en el auto inicial.</w:t>
      </w:r>
    </w:p>
    <w:p>
      <w:pPr>
        <w:spacing w:line="360" w:lineRule="auto"/>
        <w:jc w:val="both"/>
      </w:pPr>
      <w:r>
        <w:rPr>
          <w:rFonts w:ascii="Arial" w:hAnsi="Arial"/>
          <w:b w:val="0"/>
          <w:i w:val="0"/>
          <w:sz w:val="28"/>
        </w:rPr>
        <w:t>Si esa premisa se respeta, la conclusión es directa: la prevención carecía de sustento legal, el apercibimiento que la acompañó era ilegal y el acuerdo que lo hizo efectivo privó a la persona quejosa del acceso a la jurisdicción sin norma que lo autorizara. Procede, por ello, conceder el amparo para que se deje insubsistente el acuerdo reclamado y se provea sobre la admisión de la demanda sin la exigencia indebida.</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el acuerdo de </w:t>
      </w:r>
      <w:r>
        <w:rPr>
          <w:rFonts w:ascii="Arial" w:hAnsi="Arial"/>
          <w:b/>
          <w:i w:val="0"/>
          <w:sz w:val="28"/>
        </w:rPr>
        <w:t>[FECHA DEL ACUERDO RECLAMADO]</w:t>
      </w:r>
      <w:r>
        <w:rPr>
          <w:rFonts w:ascii="Arial" w:hAnsi="Arial"/>
          <w:b w:val="0"/>
          <w:i w:val="0"/>
          <w:sz w:val="28"/>
        </w:rPr>
        <w:t xml:space="preserve">, notificado el </w:t>
      </w:r>
      <w:r>
        <w:rPr>
          <w:rFonts w:ascii="Arial" w:hAnsi="Arial"/>
          <w:b/>
          <w:i w:val="0"/>
          <w:sz w:val="28"/>
        </w:rPr>
        <w:t>[FECHA DE NOTIFICACIÓN DEL ACUERDO RECLAMADO]</w:t>
      </w:r>
      <w:r>
        <w:rPr>
          <w:rFonts w:ascii="Arial" w:hAnsi="Arial"/>
          <w:b w:val="0"/>
          <w:i w:val="0"/>
          <w:sz w:val="28"/>
        </w:rPr>
        <w:t xml:space="preserve">, por el que el </w:t>
      </w:r>
      <w:r>
        <w:rPr>
          <w:rFonts w:ascii="Arial" w:hAnsi="Arial"/>
          <w:b/>
          <w:i w:val="0"/>
          <w:sz w:val="28"/>
        </w:rPr>
        <w:t>[TRIBUNAL LABORAL RESPONSABLE]</w:t>
      </w:r>
      <w:r>
        <w:rPr>
          <w:rFonts w:ascii="Arial" w:hAnsi="Arial"/>
          <w:b w:val="0"/>
          <w:i w:val="0"/>
          <w:sz w:val="28"/>
        </w:rPr>
        <w:t xml:space="preserve"> tuvo por no presentada la demanda que </w:t>
      </w:r>
      <w:r>
        <w:rPr>
          <w:rFonts w:ascii="Arial" w:hAnsi="Arial"/>
          <w:b/>
          <w:i w:val="0"/>
          <w:sz w:val="28"/>
        </w:rPr>
        <w:t>[NOMBRE DE LA PERSONA QUEJOSA]</w:t>
      </w:r>
      <w:r>
        <w:rPr>
          <w:rFonts w:ascii="Arial" w:hAnsi="Arial"/>
          <w:b w:val="0"/>
          <w:i w:val="0"/>
          <w:sz w:val="28"/>
        </w:rPr>
        <w:t xml:space="preserve"> promovió el </w:t>
      </w:r>
      <w:r>
        <w:rPr>
          <w:rFonts w:ascii="Arial" w:hAnsi="Arial"/>
          <w:b/>
          <w:i w:val="0"/>
          <w:sz w:val="28"/>
        </w:rPr>
        <w:t>[FECHA DE PRESENTACIÓN DE LA DEMANDA LABORAL]</w:t>
      </w:r>
      <w:r>
        <w:rPr>
          <w:rFonts w:ascii="Arial" w:hAnsi="Arial"/>
          <w:b w:val="0"/>
          <w:i w:val="0"/>
          <w:sz w:val="28"/>
        </w:rPr>
        <w:t xml:space="preserve"> contra </w:t>
      </w:r>
      <w:r>
        <w:rPr>
          <w:rFonts w:ascii="Arial" w:hAnsi="Arial"/>
          <w:b/>
          <w:i w:val="0"/>
          <w:sz w:val="28"/>
        </w:rPr>
        <w:t>[ORGANISMO O AFORE DEMANDADA]</w:t>
      </w:r>
      <w:r>
        <w:rPr>
          <w:rFonts w:ascii="Arial" w:hAnsi="Arial"/>
          <w:b w:val="0"/>
          <w:i w:val="0"/>
          <w:sz w:val="28"/>
        </w:rPr>
        <w:t xml:space="preserve">, en reclamo de </w:t>
      </w:r>
      <w:r>
        <w:rPr>
          <w:rFonts w:ascii="Arial" w:hAnsi="Arial"/>
          <w:b/>
          <w:i w:val="0"/>
          <w:sz w:val="28"/>
        </w:rPr>
        <w:t>[PRESTACIÓN RECLAMADA]</w:t>
      </w:r>
      <w:r>
        <w:rPr>
          <w:rFonts w:ascii="Arial" w:hAnsi="Arial"/>
          <w:b w:val="0"/>
          <w:i w:val="0"/>
          <w:sz w:val="28"/>
        </w:rPr>
        <w:t xml:space="preserve">, al estimar incumplida la prevención de </w:t>
      </w:r>
      <w:r>
        <w:rPr>
          <w:rFonts w:ascii="Arial" w:hAnsi="Arial"/>
          <w:b/>
          <w:i w:val="0"/>
          <w:sz w:val="28"/>
        </w:rPr>
        <w:t>[FECHA DE LA PREVENCIÓN]</w:t>
      </w:r>
      <w:r>
        <w:rPr>
          <w:rFonts w:ascii="Arial" w:hAnsi="Arial"/>
          <w:b w:val="0"/>
          <w:i w:val="0"/>
          <w:sz w:val="28"/>
        </w:rPr>
        <w:t xml:space="preserve">, que exigió exhibir </w:t>
      </w:r>
      <w:r>
        <w:rPr>
          <w:rFonts w:ascii="Arial" w:hAnsi="Arial"/>
          <w:b/>
          <w:i w:val="0"/>
          <w:sz w:val="28"/>
        </w:rPr>
        <w:t>[DOCUMENTO EXIGIDO EN LA PREVENCIÓN]</w:t>
      </w:r>
      <w:r>
        <w:rPr>
          <w:rFonts w:ascii="Arial" w:hAnsi="Arial"/>
          <w:b w:val="0"/>
          <w:i w:val="0"/>
          <w:sz w:val="28"/>
        </w:rPr>
        <w:t xml:space="preserve"> con apoyo en </w:t>
      </w:r>
      <w:r>
        <w:rPr>
          <w:rFonts w:ascii="Arial" w:hAnsi="Arial"/>
          <w:b/>
          <w:i w:val="0"/>
          <w:sz w:val="28"/>
        </w:rPr>
        <w:t>[PRECEPTO INVOCADO EN LA PREVENCIÓN]</w:t>
      </w:r>
      <w:r>
        <w:rPr>
          <w:rFonts w:ascii="Arial" w:hAnsi="Arial"/>
          <w:b w:val="0"/>
          <w:i w:val="0"/>
          <w:sz w:val="28"/>
        </w:rPr>
        <w:t>.</w:t>
      </w:r>
    </w:p>
    <w:p>
      <w:pPr>
        <w:spacing w:line="360" w:lineRule="auto"/>
        <w:jc w:val="both"/>
      </w:pPr>
      <w:r>
        <w:rPr>
          <w:rFonts w:ascii="Arial" w:hAnsi="Arial"/>
          <w:b w:val="0"/>
          <w:i w:val="0"/>
          <w:sz w:val="28"/>
        </w:rPr>
        <w:t>Ese acuerdo es impugnable en amparo directo. El artículo 170, fracción I, de la Ley de Amparo hace procedente la vía contra las resoluciones que ponen fin al juicio dictadas por tribunales del trabajo, entendidas como aquellas que, sin decidirlo en lo principal, lo dan por concluido, y el propio precepto dispone que, para efectos de esa ley, el juicio se inicia con la presentación de la demanda. Tener por no presentada una demanda ya presentada es, con exactitud, concluir el juicio sin resolverlo.</w:t>
      </w:r>
    </w:p>
    <w:p>
      <w:pPr>
        <w:spacing w:line="360" w:lineRule="auto"/>
        <w:jc w:val="both"/>
      </w:pPr>
      <w:r>
        <w:rPr>
          <w:rFonts w:ascii="Arial" w:hAnsi="Arial"/>
          <w:b w:val="0"/>
          <w:i w:val="0"/>
          <w:sz w:val="28"/>
        </w:rPr>
        <w:t>No es casual, por lo demás, que los criterios que dieron origen a la contradicción resuelta por el Pleno Regional se hayan sustentado al resolver juicios de amparo directo en los que se discutía precisamente esa prevención y la consecuencia de tener la demanda por no presentada. La vía directa es, pues, la que corresponde, y su procedencia descansa en la letra del artículo 170 y en el artículo 107, fracción V, de la Constitución.</w:t>
      </w:r>
    </w:p>
    <w:p>
      <w:pPr>
        <w:spacing w:line="360" w:lineRule="auto"/>
        <w:jc w:val="both"/>
      </w:pPr>
      <w:r>
        <w:rPr>
          <w:rFonts w:ascii="Arial" w:hAnsi="Arial"/>
          <w:b w:val="0"/>
          <w:i w:val="0"/>
          <w:sz w:val="28"/>
        </w:rPr>
        <w:t>Las normas cuya inobservancia se plantea son el artículo 899-C, fracción VIII, de la Ley Federal del Trabajo, tal como lo interpretó la jurisprudencia que adelante se transcribe; el artículo 17 de la Constitución, que garantiza el acceso a la justicia y ordena a las autoridades privilegiar la solución del conflicto sobre los formalismos procedimentales; el artículo 16, primer párrafo, en cuanto exige que todo acto de molestia se funde en una facultad legal; y el artículo 14, segundo párrafo, en su vertiente de derecho a ser oído conforme a las formalidades esenciales del procedimiento.</w:t>
      </w:r>
    </w:p>
    <w:p>
      <w:pPr>
        <w:spacing w:line="360" w:lineRule="auto"/>
        <w:jc w:val="both"/>
      </w:pPr>
      <w:r>
        <w:rPr>
          <w:rFonts w:ascii="Arial" w:hAnsi="Arial"/>
          <w:b w:val="0"/>
          <w:i w:val="0"/>
          <w:sz w:val="28"/>
        </w:rPr>
        <w:t xml:space="preserve">El perjuicio es inmediato y de la mayor entidad. La persona quejosa quedó fuera del proceso sin que ningún órgano jurisdiccional examinara su pretensión de </w:t>
      </w:r>
      <w:r>
        <w:rPr>
          <w:rFonts w:ascii="Arial" w:hAnsi="Arial"/>
          <w:b/>
          <w:i w:val="0"/>
          <w:sz w:val="28"/>
        </w:rPr>
        <w:t>[PRESTACIÓN RECLAMADA]</w:t>
      </w:r>
      <w:r>
        <w:rPr>
          <w:rFonts w:ascii="Arial" w:hAnsi="Arial"/>
          <w:b w:val="0"/>
          <w:i w:val="0"/>
          <w:sz w:val="28"/>
        </w:rPr>
        <w:t>, derivada del derecho a la seguridad social que reconoce el artículo 123 de la Constitución. Se le cerró la puerta del juicio por no satisfacer una exigencia que la ley no contempla y, de no repararse la violación, tendría que promover de nuevo, con el riesgo de que el transcurso del tiempo afecte la exigibilidad de su derecho.</w:t>
      </w:r>
    </w:p>
    <w:p>
      <w:pPr>
        <w:spacing w:line="360" w:lineRule="auto"/>
        <w:jc w:val="both"/>
      </w:pPr>
      <w:r>
        <w:rPr>
          <w:rFonts w:ascii="Arial" w:hAnsi="Arial"/>
          <w:b w:val="0"/>
          <w:i w:val="0"/>
          <w:sz w:val="28"/>
        </w:rPr>
        <w:t>Aunque este concepto se formula con la técnica debida, se hace notar que el artículo 79, fracción V, de la Ley de Amparo obliga a suplir la deficiencia de la queja en materia laboral en favor de la persona trabajadora, y que el propio precepto dispone que en ese supuesto la suplencia opera aun ante la ausencia de conceptos de violación. La calidad de persona trabajadora de la quejosa deriva de que reclama prestaciones de seguridad social generadas por su relación de trabajo.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del derecho que está en juego. La doctrina sobre acceso a la justicia sostiene que los requisitos de admisión de una pretensión deben estar previstos en una norma con rango de ley, interpretarse en el sentido más favorable a la admisión y no pueden conducir a la inadmisión por un defecto subsanable sin dar oportunidad de subsanarlo.</w:t>
      </w:r>
      <w:r>
        <w:rPr>
          <w:rFonts w:ascii="Arial" w:hAnsi="Arial"/>
          <w:vertAlign w:val="superscript"/>
        </w:rPr>
        <w:t>1</w:t>
      </w:r>
      <w:r>
        <w:rPr>
          <w:rFonts w:ascii="Arial" w:hAnsi="Arial"/>
          <w:b w:val="0"/>
          <w:i w:val="0"/>
          <w:sz w:val="28"/>
        </w:rPr>
        <w:t xml:space="preserve"> Un requisito creado por la persona juzgadora no supera el primer filtro: no está en la ley y, por ello, no puede fundar una prevención ni un apercibimiento.</w:t>
      </w:r>
    </w:p>
    <w:p>
      <w:pPr>
        <w:spacing w:line="360" w:lineRule="auto"/>
        <w:jc w:val="both"/>
      </w:pPr>
      <w:r>
        <w:rPr>
          <w:rFonts w:ascii="Arial" w:hAnsi="Arial"/>
          <w:b w:val="0"/>
          <w:i w:val="0"/>
          <w:sz w:val="28"/>
        </w:rPr>
        <w:t>En la misma línea se ha explicado que la tutela judicial se vulnera cuando se imponen requisitos impeditivos u obstaculizadores del acceso a la jurisdicción que resultan innecesarios, excesivos o carentes de razonabilidad frente al fin que lícitamente persiguen.</w:t>
      </w:r>
      <w:r>
        <w:rPr>
          <w:rFonts w:ascii="Arial" w:hAnsi="Arial"/>
          <w:vertAlign w:val="superscript"/>
        </w:rPr>
        <w:t>2</w:t>
      </w:r>
      <w:r>
        <w:rPr>
          <w:rFonts w:ascii="Arial" w:hAnsi="Arial"/>
          <w:b w:val="0"/>
          <w:i w:val="0"/>
          <w:sz w:val="28"/>
        </w:rPr>
        <w:t xml:space="preserve"> Exigir de entrada la prueba plena de un hecho que será materia del juicio es el ejemplo más claro de un obstáculo innecesario: adelanta al umbral del proceso lo que pertenece a su desenlace.</w:t>
      </w:r>
    </w:p>
    <w:p>
      <w:pPr>
        <w:spacing w:line="360" w:lineRule="auto"/>
        <w:jc w:val="both"/>
      </w:pPr>
      <w:r>
        <w:rPr>
          <w:rFonts w:ascii="Arial" w:hAnsi="Arial"/>
          <w:b w:val="0"/>
          <w:i w:val="0"/>
          <w:sz w:val="28"/>
        </w:rPr>
        <w:t>Ese entendimiento tiene hoy respaldo constitucional expreso. El artículo 17 de la Constitución dispone que, siempre que no se afecte la igualdad entre las partes, el debido proceso u otros derechos, las autoridades deberán privilegiar la solución del conflicto sobre los formalismos procedimentales. Tener por no presentada una demanda por la falta de un documento cuya eficacia sólo puede apreciarse en sentencia es el formalismo en estado puro, y además uno que la ley ni siquiera prevé.</w:t>
      </w:r>
    </w:p>
    <w:p>
      <w:pPr>
        <w:spacing w:line="360" w:lineRule="auto"/>
        <w:jc w:val="both"/>
      </w:pPr>
      <w:r>
        <w:rPr>
          <w:rFonts w:ascii="Arial" w:hAnsi="Arial"/>
          <w:b w:val="0"/>
          <w:i w:val="0"/>
          <w:sz w:val="28"/>
        </w:rPr>
        <w:t>A lo anterior se suma el principio de legalidad, concebido por la doctrina como un garante que fija límites al ejercicio del poder público, el cual encuentra su fundamento y su marco de actuación en la Constitución y en la ley, al tiempo que protege la esfera de las personas.</w:t>
      </w:r>
      <w:r>
        <w:rPr>
          <w:rFonts w:ascii="Arial" w:hAnsi="Arial"/>
          <w:vertAlign w:val="superscript"/>
        </w:rPr>
        <w:t>3</w:t>
      </w:r>
      <w:r>
        <w:rPr>
          <w:rFonts w:ascii="Arial" w:hAnsi="Arial"/>
          <w:b w:val="0"/>
          <w:i w:val="0"/>
          <w:sz w:val="28"/>
        </w:rPr>
        <w:t xml:space="preserve"> Los tribunales laborales no son la excepción: sus atribuciones para admitir, prevenir o desechar una demanda son las que la Ley Federal del Trabajo les confiere, y ninguna más.</w:t>
      </w:r>
    </w:p>
    <w:p>
      <w:pPr>
        <w:spacing w:line="360" w:lineRule="auto"/>
        <w:jc w:val="both"/>
      </w:pPr>
      <w:r>
        <w:rPr>
          <w:rFonts w:ascii="Arial" w:hAnsi="Arial"/>
          <w:b w:val="0"/>
          <w:i w:val="0"/>
          <w:sz w:val="28"/>
        </w:rPr>
        <w:t>Por último, la interpretación de las normas procesales laborales está gobernada por el principio in dubio pro operario, que la doctrina ubica entre los criterios de favorabilidad derivados del principio pro persona, junto con el in dubio pro reo y el pro actione.</w:t>
      </w:r>
      <w:r>
        <w:rPr>
          <w:rFonts w:ascii="Arial" w:hAnsi="Arial"/>
          <w:vertAlign w:val="superscript"/>
        </w:rPr>
        <w:t>4</w:t>
      </w:r>
      <w:r>
        <w:rPr>
          <w:rFonts w:ascii="Arial" w:hAnsi="Arial"/>
          <w:b w:val="0"/>
          <w:i w:val="0"/>
          <w:sz w:val="28"/>
        </w:rPr>
        <w:t xml:space="preserve"> Cuando una norma admite dos lecturas, una que reconoce un derecho a la parte trabajadora y otra que le impone una carga, el intérprete está obligado a escoger la primera.</w:t>
      </w:r>
    </w:p>
    <w:p>
      <w:pPr>
        <w:spacing w:line="360" w:lineRule="auto"/>
        <w:jc w:val="both"/>
      </w:pPr>
      <w:r>
        <w:rPr>
          <w:rFonts w:ascii="Arial" w:hAnsi="Arial"/>
          <w:b w:val="0"/>
          <w:i w:val="0"/>
          <w:sz w:val="28"/>
        </w:rPr>
        <w:t>Sobre esa base debe examinarse el artículo 899-C de la Ley Federal del Trabajo, que enumera los requisitos de la demanda en los conflictos individuales de seguridad social. Sus fracciones VI y VII se refieren a documentos específicos, y su fracción VIII abre la puerta a las demás pruebas que la parte actora juzgue convenientes para acreditar sus pretensiones. La cuestión es si esa apertura confiere al tribunal la facultad de definir cuáles pruebas son eficaces y exigirlas como condición de admisión.</w:t>
      </w:r>
    </w:p>
    <w:p>
      <w:pPr>
        <w:spacing w:line="360" w:lineRule="auto"/>
        <w:jc w:val="both"/>
      </w:pPr>
      <w:r>
        <w:rPr>
          <w:rFonts w:ascii="Arial" w:hAnsi="Arial"/>
          <w:b w:val="0"/>
          <w:i w:val="0"/>
          <w:sz w:val="28"/>
        </w:rPr>
        <w:t>La respuesta ya está dada, con carácter obligatorio, por el Pleno Regional en Materias Penal y de Trabajo de la Región Centro-Sur, con residencia en la Ciudad de México, al resolver la contradicción de criterios 56/2026. La jurisprudencia PR.P.T.CS. J/19 L (12a.), de la instancia Plenos Regionales, registro digital 2032551, publicada en el Semanario Judicial de la Federación el viernes 28 de agosto de 2026 y de aplicación obligatoria a partir del lunes 31 de agosto de 2026, lleva por rubro el siguiente:</w:t>
      </w:r>
    </w:p>
    <w:p>
      <w:pPr>
        <w:spacing w:line="360" w:lineRule="auto"/>
        <w:jc w:val="both"/>
      </w:pPr>
      <w:r>
        <w:rPr>
          <w:rFonts w:ascii="Arial" w:hAnsi="Arial"/>
          <w:b w:val="0"/>
          <w:i/>
          <w:sz w:val="28"/>
        </w:rPr>
        <w:t>«CONFLICTOS INDIVIDUALES DE SEGURIDAD SOCIAL. LOS TRIBUNALES LABORALES CARECEN DE ATRIBUCIONES PARA EXIGIR A LA PARTE ACTORA, COMO REQUISITO DE PROCEDIBILIDAD DE LA DEMANDA, LAS PRUEBAS QUE AQUÉLLOS CONSIDEREN EFICACES PARA ACREDITAR SUS PRETENSIONES, CONFORME AL ARTÍCULO 899-C, FRACCIÓN VIII, DE LA LEY FEDERAL DEL TRABAJO.»</w:t>
      </w:r>
    </w:p>
    <w:p>
      <w:pPr>
        <w:spacing w:line="360" w:lineRule="auto"/>
        <w:jc w:val="both"/>
      </w:pPr>
      <w:r>
        <w:rPr>
          <w:rFonts w:ascii="Arial" w:hAnsi="Arial"/>
          <w:b w:val="0"/>
          <w:i w:val="0"/>
          <w:sz w:val="28"/>
        </w:rPr>
        <w:t xml:space="preserve">Su criterio jurídico es el siguiente: </w:t>
      </w:r>
      <w:r>
        <w:rPr>
          <w:rFonts w:ascii="Arial" w:hAnsi="Arial"/>
          <w:b w:val="0"/>
          <w:i/>
          <w:sz w:val="28"/>
        </w:rPr>
        <w:t>«La referida norma permite a la parte actora acompañar a su demanda pruebas distintas a las previstas taxativamente en sus diversas fracciones VI y VII, mas no faculta en modo alguno a los tribunales laborales a imponer requisitos de procedibilidad distintos a los previstos expresamente en la ley, ni a efectuar requerimientos que condicionen la admisión de la demanda al cumplimiento de aquéllos.»</w:t>
      </w:r>
    </w:p>
    <w:p>
      <w:pPr>
        <w:spacing w:line="360" w:lineRule="auto"/>
        <w:jc w:val="both"/>
      </w:pPr>
      <w:r>
        <w:rPr>
          <w:rFonts w:ascii="Arial" w:hAnsi="Arial"/>
          <w:b w:val="0"/>
          <w:i w:val="0"/>
          <w:sz w:val="28"/>
        </w:rPr>
        <w:t xml:space="preserve">Y en su justificación precisa que </w:t>
      </w:r>
      <w:r>
        <w:rPr>
          <w:rFonts w:ascii="Arial" w:hAnsi="Arial"/>
          <w:b w:val="0"/>
          <w:i/>
          <w:sz w:val="28"/>
        </w:rPr>
        <w:t>«la idoneidad o eficacia de los medios de convicción aportados con base en la referida fracción exige una valoración que, en su caso, debe efectuarse al resolver el fondo de la controversia, pues no se trata de una cuestión que pueda calificarse desde el auto inicial y, menos aún, justificar el requerimiento formulado por una persona juzgadora que considere su exhibición y eficacia como una exigencia de procedibilidad de la acción»</w:t>
      </w:r>
      <w:r>
        <w:rPr>
          <w:rFonts w:ascii="Arial" w:hAnsi="Arial"/>
          <w:b w:val="0"/>
          <w:i w:val="0"/>
          <w:sz w:val="28"/>
        </w:rPr>
        <w:t>.</w:t>
      </w:r>
    </w:p>
    <w:p>
      <w:pPr>
        <w:spacing w:line="360" w:lineRule="auto"/>
        <w:jc w:val="both"/>
      </w:pPr>
      <w:r>
        <w:rPr>
          <w:rFonts w:ascii="Arial" w:hAnsi="Arial"/>
          <w:b w:val="0"/>
          <w:i w:val="0"/>
          <w:sz w:val="28"/>
        </w:rPr>
        <w:t>El criterio nació de un caso de personas trabajadoras extranjeras que reclamaban la devolución de los recursos de su cuenta individual afirmando su salida definitiva del país, a quienes se exigió documento idóneo, legalizado y traducido, para acreditar ese hecho. Pero su ratio no depende de ese supuesto: lo decisivo es que la fracción VIII reconoce un derecho probatorio a la parte actora y no una potestad del tribunal, de modo que rige para cualquier prevención que condicione la admisión a exhibir la prueba que la persona juzgadora estime eficaz.</w:t>
      </w:r>
    </w:p>
    <w:p>
      <w:pPr>
        <w:spacing w:line="360" w:lineRule="auto"/>
        <w:jc w:val="both"/>
      </w:pPr>
      <w:r>
        <w:rPr>
          <w:rFonts w:ascii="Arial" w:hAnsi="Arial"/>
          <w:b/>
          <w:sz w:val="28"/>
        </w:rPr>
        <w:t>IV. Aplicación al caso concreto y refutación de la motivación del tribunal responsable.</w:t>
      </w:r>
    </w:p>
    <w:p>
      <w:pPr>
        <w:spacing w:line="360" w:lineRule="auto"/>
        <w:jc w:val="both"/>
      </w:pPr>
      <w:r>
        <w:rPr>
          <w:rFonts w:ascii="Arial" w:hAnsi="Arial"/>
          <w:b w:val="0"/>
          <w:i w:val="0"/>
          <w:sz w:val="28"/>
        </w:rPr>
        <w:t xml:space="preserve">Los hechos del expediente encuadran en la premisa. El </w:t>
      </w:r>
      <w:r>
        <w:rPr>
          <w:rFonts w:ascii="Arial" w:hAnsi="Arial"/>
          <w:b/>
          <w:i w:val="0"/>
          <w:sz w:val="28"/>
        </w:rPr>
        <w:t>[FECHA DE PRESENTACIÓN DE LA DEMANDA LABORAL]</w:t>
      </w:r>
      <w:r>
        <w:rPr>
          <w:rFonts w:ascii="Arial" w:hAnsi="Arial"/>
          <w:b w:val="0"/>
          <w:i w:val="0"/>
          <w:sz w:val="28"/>
        </w:rPr>
        <w:t xml:space="preserve">, </w:t>
      </w:r>
      <w:r>
        <w:rPr>
          <w:rFonts w:ascii="Arial" w:hAnsi="Arial"/>
          <w:b/>
          <w:i w:val="0"/>
          <w:sz w:val="28"/>
        </w:rPr>
        <w:t>[NOMBRE DE LA PERSONA QUEJOSA]</w:t>
      </w:r>
      <w:r>
        <w:rPr>
          <w:rFonts w:ascii="Arial" w:hAnsi="Arial"/>
          <w:b w:val="0"/>
          <w:i w:val="0"/>
          <w:sz w:val="28"/>
        </w:rPr>
        <w:t xml:space="preserve"> presentó demanda contra </w:t>
      </w:r>
      <w:r>
        <w:rPr>
          <w:rFonts w:ascii="Arial" w:hAnsi="Arial"/>
          <w:b/>
          <w:i w:val="0"/>
          <w:sz w:val="28"/>
        </w:rPr>
        <w:t>[ORGANISMO O AFORE DEMANDADA]</w:t>
      </w:r>
      <w:r>
        <w:rPr>
          <w:rFonts w:ascii="Arial" w:hAnsi="Arial"/>
          <w:b w:val="0"/>
          <w:i w:val="0"/>
          <w:sz w:val="28"/>
        </w:rPr>
        <w:t xml:space="preserve"> en reclamo de </w:t>
      </w:r>
      <w:r>
        <w:rPr>
          <w:rFonts w:ascii="Arial" w:hAnsi="Arial"/>
          <w:b/>
          <w:i w:val="0"/>
          <w:sz w:val="28"/>
        </w:rPr>
        <w:t>[PRESTACIÓN RECLAMADA]</w:t>
      </w:r>
      <w:r>
        <w:rPr>
          <w:rFonts w:ascii="Arial" w:hAnsi="Arial"/>
          <w:b w:val="0"/>
          <w:i w:val="0"/>
          <w:sz w:val="28"/>
        </w:rPr>
        <w:t xml:space="preserve">, y acompañó </w:t>
      </w:r>
      <w:r>
        <w:rPr>
          <w:rFonts w:ascii="Arial" w:hAnsi="Arial"/>
          <w:b/>
          <w:i w:val="0"/>
          <w:sz w:val="28"/>
        </w:rPr>
        <w:t>[PRUEBAS OFRECIDAS EN LA DEMANDA]</w:t>
      </w:r>
      <w:r>
        <w:rPr>
          <w:rFonts w:ascii="Arial" w:hAnsi="Arial"/>
          <w:b w:val="0"/>
          <w:i w:val="0"/>
          <w:sz w:val="28"/>
        </w:rPr>
        <w:t xml:space="preserve">. En lugar de admitirla, el tribunal la previno el </w:t>
      </w:r>
      <w:r>
        <w:rPr>
          <w:rFonts w:ascii="Arial" w:hAnsi="Arial"/>
          <w:b/>
          <w:i w:val="0"/>
          <w:sz w:val="28"/>
        </w:rPr>
        <w:t>[FECHA DE LA PREVENCIÓN]</w:t>
      </w:r>
      <w:r>
        <w:rPr>
          <w:rFonts w:ascii="Arial" w:hAnsi="Arial"/>
          <w:b w:val="0"/>
          <w:i w:val="0"/>
          <w:sz w:val="28"/>
        </w:rPr>
        <w:t xml:space="preserve"> para que exhibiera </w:t>
      </w:r>
      <w:r>
        <w:rPr>
          <w:rFonts w:ascii="Arial" w:hAnsi="Arial"/>
          <w:b/>
          <w:i w:val="0"/>
          <w:sz w:val="28"/>
        </w:rPr>
        <w:t>[DOCUMENTO EXIGIDO EN LA PREVENCIÓN]</w:t>
      </w:r>
      <w:r>
        <w:rPr>
          <w:rFonts w:ascii="Arial" w:hAnsi="Arial"/>
          <w:b w:val="0"/>
          <w:i w:val="0"/>
          <w:sz w:val="28"/>
        </w:rPr>
        <w:t>, con el apercibimiento de tenerla por no presentada, y ante la falta de exhibición dictó el acuerdo reclamado.</w:t>
      </w:r>
    </w:p>
    <w:p>
      <w:pPr>
        <w:spacing w:line="360" w:lineRule="auto"/>
        <w:jc w:val="both"/>
      </w:pPr>
      <w:r>
        <w:rPr>
          <w:rFonts w:ascii="Arial" w:hAnsi="Arial"/>
          <w:b w:val="0"/>
          <w:i w:val="0"/>
          <w:sz w:val="28"/>
        </w:rPr>
        <w:t>La subsunción es directa. El tribunal calificó desde el auto inicial la eficacia de las pruebas ofrecidas, concluyó que no bastaban para acreditar el hecho en que descansa la acción y convirtió la exhibición de un documento determinado en condición de procedibilidad. Eso es, punto por punto, lo que la jurisprudencia declara vedado: exigir de forma discrecional los documentos que la persona juzgadora estima idóneos, restringir el acervo probatorio de la parte actora y erigir como condición de procedibilidad un requisito que la ley no prevé.</w:t>
      </w:r>
    </w:p>
    <w:p>
      <w:pPr>
        <w:spacing w:line="360" w:lineRule="auto"/>
        <w:jc w:val="both"/>
      </w:pPr>
      <w:r>
        <w:rPr>
          <w:rFonts w:ascii="Arial" w:hAnsi="Arial"/>
          <w:b w:val="0"/>
          <w:i w:val="0"/>
          <w:sz w:val="28"/>
        </w:rPr>
        <w:t xml:space="preserve">No altera la conclusión que la prevención se haya apoyado en </w:t>
      </w:r>
      <w:r>
        <w:rPr>
          <w:rFonts w:ascii="Arial" w:hAnsi="Arial"/>
          <w:b/>
          <w:i w:val="0"/>
          <w:sz w:val="28"/>
        </w:rPr>
        <w:t>[PRECEPTO INVOCADO EN LA PREVENCIÓN]</w:t>
      </w:r>
      <w:r>
        <w:rPr>
          <w:rFonts w:ascii="Arial" w:hAnsi="Arial"/>
          <w:b w:val="0"/>
          <w:i w:val="0"/>
          <w:sz w:val="28"/>
        </w:rPr>
        <w:t>. Si el precepto invocado fue la fracción VIII del artículo 899-C, la jurisprudencia excluye esa lectura de modo terminante; si fue alguna otra disposición, ésta habrá de regular, a lo sumo, la aclaración de una demanda oscura o incompleta en sus requisitos formales, no la exigencia de prueba plena sobre el fondo, que es terreno de la sentencia. La prevención confundió los requisitos de la demanda con la prueba de la acción.</w:t>
      </w:r>
    </w:p>
    <w:p>
      <w:pPr>
        <w:spacing w:line="360" w:lineRule="auto"/>
        <w:jc w:val="both"/>
      </w:pPr>
      <w:r>
        <w:rPr>
          <w:rFonts w:ascii="Arial" w:hAnsi="Arial"/>
          <w:b w:val="0"/>
          <w:i w:val="0"/>
          <w:sz w:val="28"/>
        </w:rPr>
        <w:t>El razonamiento que subyace al acuerdo reclamado es, además, lógicamente inválido. Parte de una premisa cierta: la parte actora debe ofrecer sus pruebas desde la demanda. Y de ahí concluye que, si el tribunal no las considera eficaces, puede requerir la que sí lo sea y tener por no presentada la demanda. Ese paso es un non sequitur, categoría que la doctrina de la argumentación reserva para los argumentos cuya conclusión no se sigue de las premisas.</w:t>
      </w:r>
      <w:r>
        <w:rPr>
          <w:rFonts w:ascii="Arial" w:hAnsi="Arial"/>
          <w:vertAlign w:val="superscript"/>
        </w:rPr>
        <w:t>5</w:t>
      </w:r>
      <w:r>
        <w:rPr>
          <w:rFonts w:ascii="Arial" w:hAnsi="Arial"/>
          <w:b w:val="0"/>
          <w:i w:val="0"/>
          <w:sz w:val="28"/>
        </w:rPr>
        <w:t xml:space="preserve"> Del deber de ofrecer pruebas no se sigue la potestad de seleccionarlas por la parte.</w:t>
      </w:r>
    </w:p>
    <w:p>
      <w:pPr>
        <w:spacing w:line="360" w:lineRule="auto"/>
        <w:jc w:val="both"/>
      </w:pPr>
      <w:r>
        <w:rPr>
          <w:rFonts w:ascii="Arial" w:hAnsi="Arial"/>
          <w:b w:val="0"/>
          <w:i w:val="0"/>
          <w:sz w:val="28"/>
        </w:rPr>
        <w:t>Incurre también en petición de principio, vicio que la doctrina describe como pretender demostrar por sí mismo lo que no está claro ni es conocido por sí mismo, esto es, no demostrar.</w:t>
      </w:r>
      <w:r>
        <w:rPr>
          <w:rFonts w:ascii="Arial" w:hAnsi="Arial"/>
          <w:vertAlign w:val="superscript"/>
        </w:rPr>
        <w:t>6</w:t>
      </w:r>
      <w:r>
        <w:rPr>
          <w:rFonts w:ascii="Arial" w:hAnsi="Arial"/>
          <w:b w:val="0"/>
          <w:i w:val="0"/>
          <w:sz w:val="28"/>
        </w:rPr>
        <w:t xml:space="preserve"> Al afirmar que las pruebas ofrecidas eran ineficaces, el tribunal dio por resuelto, antes de admitir la demanda y sin contradictorio alguno, precisamente lo que el juicio debía dilucidar: si el hecho que sustenta la acción está o no acreditado. La premisa de la prevención es la conclusión del fondo.</w:t>
      </w:r>
    </w:p>
    <w:p>
      <w:pPr>
        <w:spacing w:line="360" w:lineRule="auto"/>
        <w:jc w:val="both"/>
      </w:pPr>
      <w:r>
        <w:rPr>
          <w:rFonts w:ascii="Arial" w:hAnsi="Arial"/>
          <w:b w:val="0"/>
          <w:i w:val="0"/>
          <w:sz w:val="28"/>
        </w:rPr>
        <w:t>La consecuencia sistémica confirma el error. Si bastara que la persona juzgadora considerara insuficientes las pruebas para exigir otras bajo apercibimiento, el acceso al proceso dependería del criterio anticipado de cada tribunal y no de la ley, lo que contradice el mandato del artículo 17 constitucional de privilegiar la solución del conflicto sobre los formalismos y vacía de contenido la fracción VIII, pues el derecho de ofrecer las demás pruebas se convertiría en la obligación de ofrecer la prueba que el tribunal prefiera.</w:t>
      </w:r>
    </w:p>
    <w:p>
      <w:pPr>
        <w:spacing w:line="360" w:lineRule="auto"/>
        <w:jc w:val="both"/>
      </w:pPr>
      <w:r>
        <w:rPr>
          <w:rFonts w:ascii="Arial" w:hAnsi="Arial"/>
          <w:b w:val="0"/>
          <w:i w:val="0"/>
          <w:sz w:val="28"/>
        </w:rPr>
        <w:t>Por si hubiera duda sobre el alcance de la fracción VIII, el principio in dubio pro operario la disipa en favor de la lectura que reconoce un derecho a la parte trabajadora, como lo hizo el Pleno Regional. La lectura contraria, que carga a la persona trabajadora con exhibir de entrada el documento que el tribunal elija, es la menos favorable de las posibles y, por ello, la que el intérprete tenía prohibido escoger.</w:t>
      </w:r>
    </w:p>
    <w:p>
      <w:pPr>
        <w:spacing w:line="360" w:lineRule="auto"/>
        <w:jc w:val="both"/>
      </w:pPr>
      <w:r>
        <w:rPr>
          <w:rFonts w:ascii="Arial" w:hAnsi="Arial"/>
          <w:b w:val="0"/>
          <w:i w:val="0"/>
          <w:sz w:val="28"/>
        </w:rPr>
        <w:t xml:space="preserve">Finalmente, el criterio es de observancia obligatoria. Conforme al artículo 217 de la Ley de Amparo, la jurisprudencia de los plenos regionales obliga a todas las autoridades jurisdiccionales de la Federación y de las entidades federativas de su región, con la sola excepción de la Suprema Corte de Justicia de la Nación y de los propios plenos regionales. Si el </w:t>
      </w:r>
      <w:r>
        <w:rPr>
          <w:rFonts w:ascii="Arial" w:hAnsi="Arial"/>
          <w:b/>
          <w:i w:val="0"/>
          <w:sz w:val="28"/>
        </w:rPr>
        <w:t>[TRIBUNAL LABORAL RESPONSABLE]</w:t>
      </w:r>
      <w:r>
        <w:rPr>
          <w:rFonts w:ascii="Arial" w:hAnsi="Arial"/>
          <w:b w:val="0"/>
          <w:i w:val="0"/>
          <w:sz w:val="28"/>
        </w:rPr>
        <w:t xml:space="preserve"> se ubica fuera de la Región Centro-Sur, el criterio conserva pleno valor persuasivo, pues su ratio descansa en el texto de la ley y en el artículo 17 constitucional.</w:t>
      </w:r>
    </w:p>
    <w:p>
      <w:pPr>
        <w:spacing w:line="360" w:lineRule="auto"/>
        <w:jc w:val="both"/>
      </w:pPr>
      <w:r>
        <w:rPr>
          <w:rFonts w:ascii="Arial" w:hAnsi="Arial"/>
          <w:b w:val="0"/>
          <w:i w:val="0"/>
          <w:sz w:val="28"/>
        </w:rPr>
        <w:t>Tampoco obsta que el acuerdo reclamado se hubiera dictado antes de la publicación de la jurisprudencia. Ésta no crea la norma, sino que fija el sentido que el artículo 899-C, fracción VIII, tuvo desde siempre; rige al momento de resolver este juicio, y su aplicación no perjudica a persona alguna, pues beneficia a la parte trabajadora y sólo priva de eficacia a una exigencia que nunca tuvo sustento legal.</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la fracción VIII del artículo 899-C de la Ley Federal del Trabajo reconoce un derecho probatorio a la parte actora y no atribuye a los tribunales laborales la facultad de exigir, como condición de admisión, la prueba que consideren eficaz; la eficacia de la prueba se valora en la sentencia; y el </w:t>
      </w:r>
      <w:r>
        <w:rPr>
          <w:rFonts w:ascii="Arial" w:hAnsi="Arial"/>
          <w:b/>
          <w:i w:val="0"/>
          <w:sz w:val="28"/>
        </w:rPr>
        <w:t>[TRIBUNAL LABORAL RESPONSABLE]</w:t>
      </w:r>
      <w:r>
        <w:rPr>
          <w:rFonts w:ascii="Arial" w:hAnsi="Arial"/>
          <w:b w:val="0"/>
          <w:i w:val="0"/>
          <w:sz w:val="28"/>
        </w:rPr>
        <w:t xml:space="preserve"> hizo precisamente lo que la jurisprudencia obligatoria prohíbe, con lo que puso fin al juicio sin norma que lo autorizara.</w:t>
      </w:r>
    </w:p>
    <w:p>
      <w:pPr>
        <w:spacing w:line="360" w:lineRule="auto"/>
        <w:jc w:val="both"/>
      </w:pPr>
      <w:r>
        <w:rPr>
          <w:rFonts w:ascii="Arial" w:hAnsi="Arial"/>
          <w:b w:val="0"/>
          <w:i w:val="0"/>
          <w:sz w:val="28"/>
        </w:rPr>
        <w:t xml:space="preserve">Por lo expuesto, procede declarar fundado este concepto de violación y conceder el amparo y protección de la Justicia Federal para el efecto de que el </w:t>
      </w:r>
      <w:r>
        <w:rPr>
          <w:rFonts w:ascii="Arial" w:hAnsi="Arial"/>
          <w:b/>
          <w:i w:val="0"/>
          <w:sz w:val="28"/>
        </w:rPr>
        <w:t>[TRIBUNAL LABORAL RESPONSABLE]</w:t>
      </w:r>
      <w:r>
        <w:rPr>
          <w:rFonts w:ascii="Arial" w:hAnsi="Arial"/>
          <w:b w:val="0"/>
          <w:i w:val="0"/>
          <w:sz w:val="28"/>
        </w:rPr>
        <w:t xml:space="preserve"> deje insubsistente el acuerdo reclamado y la prevención que le sirvió de base, y provea de nuevo sobre la admisión de la demanda sin condicionarla a la exhibición de </w:t>
      </w:r>
      <w:r>
        <w:rPr>
          <w:rFonts w:ascii="Arial" w:hAnsi="Arial"/>
          <w:b/>
          <w:i w:val="0"/>
          <w:sz w:val="28"/>
        </w:rPr>
        <w:t>[DOCUMENTO EXIGIDO EN LA PREVENCIÓN]</w:t>
      </w:r>
      <w:r>
        <w:rPr>
          <w:rFonts w:ascii="Arial" w:hAnsi="Arial"/>
          <w:b w:val="0"/>
          <w:i w:val="0"/>
          <w:sz w:val="28"/>
        </w:rPr>
        <w:t>, reservando la valoración de la idoneidad y eficacia de las pruebas para la sentencia definitiva.</w:t>
      </w:r>
    </w:p>
    <w:p>
      <w:pPr>
        <w:spacing w:line="360" w:lineRule="auto"/>
        <w:jc w:val="both"/>
      </w:pPr>
      <w:r>
        <w:rPr>
          <w:rFonts w:ascii="Arial" w:hAnsi="Arial"/>
          <w:b w:val="0"/>
          <w:i w:val="0"/>
          <w:sz w:val="28"/>
        </w:rPr>
        <w:t>Dado que este concepto reabre el acceso al juicio y hace innecesario el examen de cualquier otro planteamiento sobre la prevención, se solicita su estudio preferente conforme al principio de mayor beneficio que recoge el artículo 189 de la Ley de Amparo, y se pide que, al conceder la protección constitucional, se precise que la persona quejosa conserva íntegro el derecho de ofrecer, en el juicio laboral, todas las pruebas que estime pertinentes en términos de la fracción VIII del artículo 899-C.</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 p. 336.</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CÁRDENAS RAMÍREZ, Francisco Javier, </w:t>
      </w:r>
      <w:r>
        <w:rPr>
          <w:rFonts w:ascii="Arial" w:hAnsi="Arial"/>
          <w:i/>
          <w:sz w:val="20"/>
        </w:rPr>
        <w:t>La decisión judicial colegiada frente a una argumentación dividida. Comentarios a la sentencia SDF-JDC-185/2010</w:t>
      </w:r>
      <w:r>
        <w:rPr>
          <w:rFonts w:ascii="Arial" w:hAnsi="Arial"/>
          <w:i w:val="0"/>
          <w:sz w:val="20"/>
        </w:rPr>
        <w:t>, Tribunal Electoral del Poder Judicial de la Federación, México, 2012, p. 56.</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 p. 220.</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 p. 16.</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64.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73.</w:t>
      </w:r>
    </w:p>
    <w:p/>
    <w:p>
      <w:r>
        <w:rPr>
          <w:rFonts w:ascii="Arial" w:hAnsi="Arial"/>
          <w:b/>
          <w:sz w:val="22"/>
        </w:rPr>
        <w:t>BIBLIOGRAFÍA</w:t>
      </w:r>
    </w:p>
    <w:p>
      <w:pPr>
        <w:spacing w:after="60"/>
        <w:ind w:left="360" w:hanging="360"/>
        <w:jc w:val="both"/>
      </w:pPr>
      <w:r>
        <w:rPr>
          <w:rFonts w:ascii="Arial" w:hAnsi="Arial"/>
          <w:i w:val="0"/>
          <w:sz w:val="20"/>
        </w:rPr>
        <w:t xml:space="preserve">CÁRDENAS RAMÍREZ, Francisco Javier, </w:t>
      </w:r>
      <w:r>
        <w:rPr>
          <w:rFonts w:ascii="Arial" w:hAnsi="Arial"/>
          <w:i/>
          <w:sz w:val="20"/>
        </w:rPr>
        <w:t>La decisión judicial colegiada frente a una argumentación dividida. Comentarios a la sentencia SDF-JDC-185/2010</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GÓMORA JUÁREZ, Sandra, </w:t>
      </w:r>
      <w:r>
        <w:rPr>
          <w:rFonts w:ascii="Arial" w:hAnsi="Arial"/>
          <w:i/>
          <w:sz w:val="20"/>
        </w:rPr>
        <w:t>Un análisis conceptual del precedente judicial</w:t>
      </w:r>
      <w:r>
        <w:rPr>
          <w:rFonts w:ascii="Arial" w:hAnsi="Arial"/>
          <w:i w:val="0"/>
          <w:sz w:val="20"/>
        </w:rPr>
        <w:t>, Universidad Nacional Autónoma de México, Instituto de Investigaciones Jurídicas, México, 2018.</w:t>
      </w:r>
    </w:p>
    <w:p>
      <w:pPr>
        <w:spacing w:after="60"/>
        <w:ind w:left="360" w:hanging="360"/>
        <w:jc w:val="both"/>
      </w:pPr>
      <w:r>
        <w:rPr>
          <w:rFonts w:ascii="Arial" w:hAnsi="Arial"/>
          <w:i w:val="0"/>
          <w:sz w:val="20"/>
        </w:rPr>
        <w:t xml:space="preserve">IBARRA OLGUÍN, Ana María (ed.), </w:t>
      </w:r>
      <w:r>
        <w:rPr>
          <w:rFonts w:ascii="Arial" w:hAnsi="Arial"/>
          <w:i/>
          <w:sz w:val="20"/>
        </w:rPr>
        <w:t>Curso de derechos humanos</w:t>
      </w:r>
      <w:r>
        <w:rPr>
          <w:rFonts w:ascii="Arial" w:hAnsi="Arial"/>
          <w:i w:val="0"/>
          <w:sz w:val="20"/>
        </w:rPr>
        <w:t>, Tirant lo Blanch, México, 2022.</w:t>
      </w:r>
    </w:p>
    <w:p>
      <w:pPr>
        <w:spacing w:after="60"/>
        <w:ind w:left="360" w:hanging="360"/>
        <w:jc w:val="both"/>
      </w:pPr>
      <w:r>
        <w:rPr>
          <w:rFonts w:ascii="Arial" w:hAnsi="Arial"/>
          <w:i w:val="0"/>
          <w:sz w:val="20"/>
        </w:rPr>
        <w:t xml:space="preserve">MEDELLÍN URQUIAGA, Ximena, </w:t>
      </w:r>
      <w:r>
        <w:rPr>
          <w:rFonts w:ascii="Arial" w:hAnsi="Arial"/>
          <w:i/>
          <w:sz w:val="20"/>
        </w:rPr>
        <w:t>Principio pro persona</w:t>
      </w:r>
      <w:r>
        <w:rPr>
          <w:rFonts w:ascii="Arial" w:hAnsi="Arial"/>
          <w:i w:val="0"/>
          <w:sz w:val="20"/>
        </w:rPr>
        <w:t>, Comisión de Derechos Humanos del Distrito Federal, México, 2013.</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