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DICTAMEN DE LA CONDUSEF COMO TÍTULO EJECUTIVO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y léelo completo una vez antes de tocarlo: el concepto de violación está construido como un silogismo y conviene entender su arquitectura para no romperla. Después, coteja tu expediente con el supuesto de la jurisprudencia: dictamen emitido conforme al artículo 68 Bis, operaciones no reconocidas, falta de acreditación de la autorización por el banco y cantidad líquida determinada. Si tu caso encuadra, sustituye los campos entre corchetes, ajusta la narrativa del planteamiento a tus constancias y verifica cada dato contra el expediente antes de firmar.</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[NOMBRE DE LA PERSONA QUEJOSA]</w:t>
      </w:r>
      <w:r>
        <w:rPr>
          <w:rFonts w:ascii="Arial" w:hAnsi="Arial"/>
          <w:b w:val="0"/>
          <w:i w:val="0"/>
          <w:sz w:val="24"/>
        </w:rPr>
        <w:t>: nombre completo de quien promovió el juicio ejecutivo y ahora el amparo.</w:t>
      </w:r>
    </w:p>
    <w:p>
      <w:pPr>
        <w:spacing w:line="360" w:lineRule="auto"/>
        <w:jc w:val="both"/>
      </w:pPr>
      <w:r>
        <w:rPr>
          <w:rFonts w:ascii="Arial" w:hAnsi="Arial"/>
          <w:b/>
          <w:i w:val="0"/>
          <w:sz w:val="24"/>
        </w:rPr>
        <w:t>[INSTITUCIÓN FINANCIERA TERCERA INTERESADA]</w:t>
      </w:r>
      <w:r>
        <w:rPr>
          <w:rFonts w:ascii="Arial" w:hAnsi="Arial"/>
          <w:b w:val="0"/>
          <w:i w:val="0"/>
          <w:sz w:val="24"/>
        </w:rPr>
        <w:t>: denominación exacta del banco o entidad demandada.</w:t>
      </w:r>
    </w:p>
    <w:p>
      <w:pPr>
        <w:spacing w:line="360" w:lineRule="auto"/>
        <w:jc w:val="both"/>
      </w:pPr>
      <w:r>
        <w:rPr>
          <w:rFonts w:ascii="Arial" w:hAnsi="Arial"/>
          <w:b/>
          <w:i w:val="0"/>
          <w:sz w:val="24"/>
        </w:rPr>
        <w:t>[ÓRGANO JURISDICCIONAL RESPONSABLE]</w:t>
      </w:r>
      <w:r>
        <w:rPr>
          <w:rFonts w:ascii="Arial" w:hAnsi="Arial"/>
          <w:b w:val="0"/>
          <w:i w:val="0"/>
          <w:sz w:val="24"/>
        </w:rPr>
        <w:t>: tribunal o juzgado que dictó la sentencia reclamada.</w:t>
      </w:r>
    </w:p>
    <w:p>
      <w:pPr>
        <w:spacing w:line="360" w:lineRule="auto"/>
        <w:jc w:val="both"/>
      </w:pPr>
      <w:r>
        <w:rPr>
          <w:rFonts w:ascii="Arial" w:hAnsi="Arial"/>
          <w:b/>
          <w:i w:val="0"/>
          <w:sz w:val="24"/>
        </w:rPr>
        <w:t>[NÚMERO DEL JUICIO DE ORIGEN]</w:t>
      </w:r>
      <w:r>
        <w:rPr>
          <w:rFonts w:ascii="Arial" w:hAnsi="Arial"/>
          <w:b w:val="0"/>
          <w:i w:val="0"/>
          <w:sz w:val="24"/>
        </w:rPr>
        <w:t>: expediente del juicio ejecutivo mercantil.</w:t>
      </w:r>
    </w:p>
    <w:p>
      <w:pPr>
        <w:spacing w:line="360" w:lineRule="auto"/>
        <w:jc w:val="both"/>
      </w:pPr>
      <w:r>
        <w:rPr>
          <w:rFonts w:ascii="Arial" w:hAnsi="Arial"/>
          <w:b/>
          <w:i w:val="0"/>
          <w:sz w:val="24"/>
        </w:rPr>
        <w:t>[NÚMERO DE EXPEDIENTE CONDUSEF]</w:t>
      </w:r>
      <w:r>
        <w:rPr>
          <w:rFonts w:ascii="Arial" w:hAnsi="Arial"/>
          <w:b w:val="0"/>
          <w:i w:val="0"/>
          <w:sz w:val="24"/>
        </w:rPr>
        <w:t>: identificador del expediente o dictamen emitido por la Comisión.</w:t>
      </w:r>
    </w:p>
    <w:p>
      <w:pPr>
        <w:spacing w:line="360" w:lineRule="auto"/>
        <w:jc w:val="both"/>
      </w:pPr>
      <w:r>
        <w:rPr>
          <w:rFonts w:ascii="Arial" w:hAnsi="Arial"/>
          <w:b/>
          <w:i w:val="0"/>
          <w:sz w:val="24"/>
        </w:rPr>
        <w:t>[FECHA DEL DICTAMEN]</w:t>
      </w:r>
      <w:r>
        <w:rPr>
          <w:rFonts w:ascii="Arial" w:hAnsi="Arial"/>
          <w:b w:val="0"/>
          <w:i w:val="0"/>
          <w:sz w:val="24"/>
        </w:rPr>
        <w:t>: fecha de emisión del dictamen.</w:t>
      </w:r>
    </w:p>
    <w:p>
      <w:pPr>
        <w:spacing w:line="360" w:lineRule="auto"/>
        <w:jc w:val="both"/>
      </w:pPr>
      <w:r>
        <w:rPr>
          <w:rFonts w:ascii="Arial" w:hAnsi="Arial"/>
          <w:b/>
          <w:i w:val="0"/>
          <w:sz w:val="24"/>
        </w:rPr>
        <w:t>[FECHA DE LAS TRANSFERENCIAS NO RECONOCIDAS]</w:t>
      </w:r>
      <w:r>
        <w:rPr>
          <w:rFonts w:ascii="Arial" w:hAnsi="Arial"/>
          <w:b w:val="0"/>
          <w:i w:val="0"/>
          <w:sz w:val="24"/>
        </w:rPr>
        <w:t>: día o días en que se realizaron las operaciones desconocidas.</w:t>
      </w:r>
    </w:p>
    <w:p>
      <w:pPr>
        <w:spacing w:line="360" w:lineRule="auto"/>
        <w:jc w:val="both"/>
      </w:pPr>
      <w:r>
        <w:rPr>
          <w:rFonts w:ascii="Arial" w:hAnsi="Arial"/>
          <w:b/>
          <w:i w:val="0"/>
          <w:sz w:val="24"/>
        </w:rPr>
        <w:t>[MONTO DETERMINADO EN EL DICTAMEN]</w:t>
      </w:r>
      <w:r>
        <w:rPr>
          <w:rFonts w:ascii="Arial" w:hAnsi="Arial"/>
          <w:b w:val="0"/>
          <w:i w:val="0"/>
          <w:sz w:val="24"/>
        </w:rPr>
        <w:t>: cantidad líquida fijada a favor de la persona usuaria.</w:t>
      </w:r>
    </w:p>
    <w:p>
      <w:pPr>
        <w:spacing w:line="360" w:lineRule="auto"/>
        <w:jc w:val="both"/>
      </w:pPr>
      <w:r>
        <w:rPr>
          <w:rFonts w:ascii="Arial" w:hAnsi="Arial"/>
          <w:b/>
          <w:i w:val="0"/>
          <w:sz w:val="24"/>
        </w:rPr>
        <w:t>[FECHA DE LA SENTENCIA RECLAMADA]</w:t>
      </w:r>
      <w:r>
        <w:rPr>
          <w:rFonts w:ascii="Arial" w:hAnsi="Arial"/>
          <w:b w:val="0"/>
          <w:i w:val="0"/>
          <w:sz w:val="24"/>
        </w:rPr>
        <w:t>: fecha de la sentencia definitiva que negó la ejecutividad.</w:t>
      </w:r>
    </w:p>
    <w:p>
      <w:pPr>
        <w:spacing w:line="360" w:lineRule="auto"/>
        <w:jc w:val="both"/>
      </w:pPr>
      <w:r>
        <w:rPr>
          <w:rFonts w:ascii="Arial" w:hAnsi="Arial"/>
          <w:b/>
          <w:i w:val="0"/>
          <w:sz w:val="24"/>
        </w:rPr>
        <w:t>[CONSIDERANDO DE LA SENTENCIA RECLAMADA]</w:t>
      </w:r>
      <w:r>
        <w:rPr>
          <w:rFonts w:ascii="Arial" w:hAnsi="Arial"/>
          <w:b w:val="0"/>
          <w:i w:val="0"/>
          <w:sz w:val="24"/>
        </w:rPr>
        <w:t>: considerando donde el tribunal negó la naturaleza ejecutiva.</w:t>
      </w:r>
    </w:p>
    <w:p>
      <w:pPr>
        <w:spacing w:line="360" w:lineRule="auto"/>
        <w:jc w:val="both"/>
      </w:pPr>
      <w:r>
        <w:rPr>
          <w:rFonts w:ascii="Arial" w:hAnsi="Arial"/>
          <w:b/>
          <w:i w:val="0"/>
          <w:sz w:val="24"/>
        </w:rPr>
        <w:t>[FOJA DE LA SENTENCIA RECLAMADA]</w:t>
      </w:r>
      <w:r>
        <w:rPr>
          <w:rFonts w:ascii="Arial" w:hAnsi="Arial"/>
          <w:b w:val="0"/>
          <w:i w:val="0"/>
          <w:sz w:val="24"/>
        </w:rPr>
        <w:t>: foja exacta de ese razonamiento.</w:t>
      </w:r>
    </w:p>
    <w:p>
      <w:pPr>
        <w:spacing w:line="360" w:lineRule="auto"/>
        <w:jc w:val="both"/>
      </w:pPr>
      <w:r>
        <w:rPr>
          <w:rFonts w:ascii="Arial" w:hAnsi="Arial"/>
          <w:b/>
          <w:i w:val="0"/>
          <w:sz w:val="24"/>
        </w:rPr>
        <w:t>[MECANISMOS DE AUTORIZACIÓN PACTADOS EN EL CONTRATO]</w:t>
      </w:r>
      <w:r>
        <w:rPr>
          <w:rFonts w:ascii="Arial" w:hAnsi="Arial"/>
          <w:b w:val="0"/>
          <w:i w:val="0"/>
          <w:sz w:val="24"/>
        </w:rPr>
        <w:t>: NIP, token, firma electrónica, biometría o el mecanismo que tu contrato prevea.</w:t>
      </w:r>
    </w:p>
    <w:p/>
    <w:p>
      <w:pPr>
        <w:spacing w:line="360" w:lineRule="auto"/>
        <w:jc w:val="both"/>
      </w:pPr>
      <w:r>
        <w:rPr>
          <w:rFonts w:ascii="Arial" w:hAnsi="Arial"/>
          <w:b/>
          <w:sz w:val="28"/>
        </w:rPr>
        <w:t>ÚNICO CONCEPTO DE VIOLACIÓN. La sentencia reclamada viola, en perjuicio de la persona quejosa, los artículos 14, 16 y 17 de la Constitución Política de los Estados Unidos Mexicanos, en relación con el artículo 68 Bis de la Ley de Protección y Defensa al Usuario de Servicios Financieros, porque negó el carácter de título ejecutivo al dictamen de la CONDUSEF que determinó la existencia de transferencias electrónicas no reconocidas, en contravención de la jurisprudencia obligatoria PR.A.C.CN. J/6 C (12a.).</w:t>
      </w:r>
    </w:p>
    <w:p>
      <w:pPr>
        <w:spacing w:line="360" w:lineRule="auto"/>
        <w:jc w:val="both"/>
      </w:pPr>
      <w:r>
        <w:rPr>
          <w:rFonts w:ascii="Arial" w:hAnsi="Arial"/>
          <w:b/>
          <w:i w:val="0"/>
          <w:sz w:val="28"/>
        </w:rPr>
        <w:t>I. Síntesis.</w:t>
      </w:r>
      <w:r>
        <w:rPr>
          <w:rFonts w:ascii="Arial" w:hAnsi="Arial"/>
          <w:b w:val="0"/>
          <w:i w:val="0"/>
          <w:sz w:val="28"/>
        </w:rPr>
        <w:t xml:space="preserve"> En este concepto de violación se demostrará que la sentencia dictada por </w:t>
      </w:r>
      <w:r>
        <w:rPr>
          <w:rFonts w:ascii="Arial" w:hAnsi="Arial"/>
          <w:b/>
          <w:i w:val="0"/>
          <w:sz w:val="28"/>
        </w:rPr>
        <w:t>[ÓRGANO JURISDICCIONAL RESPONSABLE]</w:t>
      </w:r>
      <w:r>
        <w:rPr>
          <w:rFonts w:ascii="Arial" w:hAnsi="Arial"/>
          <w:b w:val="0"/>
          <w:i w:val="0"/>
          <w:sz w:val="28"/>
        </w:rPr>
        <w:t xml:space="preserve"> en el juicio </w:t>
      </w:r>
      <w:r>
        <w:rPr>
          <w:rFonts w:ascii="Arial" w:hAnsi="Arial"/>
          <w:b/>
          <w:i w:val="0"/>
          <w:sz w:val="28"/>
        </w:rPr>
        <w:t>[NÚMERO DEL JUICIO DE ORIGEN]</w:t>
      </w:r>
      <w:r>
        <w:rPr>
          <w:rFonts w:ascii="Arial" w:hAnsi="Arial"/>
          <w:b w:val="0"/>
          <w:i w:val="0"/>
          <w:sz w:val="28"/>
        </w:rPr>
        <w:t xml:space="preserve"> resulta inconstitucional, porque desconoció la naturaleza ejecutiva del dictamen que la Comisión Nacional para la Protección y Defensa de los Usuarios de Servicios Financieros emitió a favor de la persona quejosa, a pesar de que ese documento consigna una obligación contractual incumplida, cierta, líquida y exigible, y de que la jurisprudencia obligatoria de los Plenos Regionales ordena reconocerle ese carácter.</w:t>
      </w:r>
    </w:p>
    <w:p>
      <w:pPr>
        <w:spacing w:line="360" w:lineRule="auto"/>
        <w:jc w:val="both"/>
      </w:pPr>
      <w:r>
        <w:rPr>
          <w:rFonts w:ascii="Arial" w:hAnsi="Arial"/>
          <w:b w:val="0"/>
          <w:i w:val="0"/>
          <w:sz w:val="28"/>
        </w:rPr>
        <w:t>Al resolver de ese modo, la autoridad responsable invirtió la carga probatoria que el propio régimen contractual deposita en la institución financiera, incurrió en la falacia de petición de principio y privó a la persona usuaria de la vía privilegiada que el legislador diseñó precisamente para restituirle, con celeridad, los recursos dispuestos sin su autorización, todo ello con violación directa de su derecho a la tutela judicial efectiva.</w:t>
      </w:r>
    </w:p>
    <w:p>
      <w:pPr>
        <w:spacing w:line="360" w:lineRule="auto"/>
        <w:jc w:val="both"/>
      </w:pPr>
      <w:r>
        <w:rPr>
          <w:rFonts w:ascii="Arial" w:hAnsi="Arial"/>
          <w:b/>
          <w:i w:val="0"/>
          <w:sz w:val="28"/>
        </w:rPr>
        <w:t>II. Planteamiento.</w:t>
      </w:r>
      <w:r>
        <w:rPr>
          <w:rFonts w:ascii="Arial" w:hAnsi="Arial"/>
          <w:b w:val="0"/>
          <w:i w:val="0"/>
          <w:sz w:val="28"/>
        </w:rPr>
        <w:t xml:space="preserve"> La persona quejosa, </w:t>
      </w:r>
      <w:r>
        <w:rPr>
          <w:rFonts w:ascii="Arial" w:hAnsi="Arial"/>
          <w:b/>
          <w:i w:val="0"/>
          <w:sz w:val="28"/>
        </w:rPr>
        <w:t>[NOMBRE DE LA PERSONA QUEJOSA]</w:t>
      </w:r>
      <w:r>
        <w:rPr>
          <w:rFonts w:ascii="Arial" w:hAnsi="Arial"/>
          <w:b w:val="0"/>
          <w:i w:val="0"/>
          <w:sz w:val="28"/>
        </w:rPr>
        <w:t xml:space="preserve">, promovió juicio ejecutivo mercantil contra </w:t>
      </w:r>
      <w:r>
        <w:rPr>
          <w:rFonts w:ascii="Arial" w:hAnsi="Arial"/>
          <w:b/>
          <w:i w:val="0"/>
          <w:sz w:val="28"/>
        </w:rPr>
        <w:t>[INSTITUCIÓN FINANCIERA TERCERA INTERESADA]</w:t>
      </w:r>
      <w:r>
        <w:rPr>
          <w:rFonts w:ascii="Arial" w:hAnsi="Arial"/>
          <w:b w:val="0"/>
          <w:i w:val="0"/>
          <w:sz w:val="28"/>
        </w:rPr>
        <w:t xml:space="preserve">, exhibiendo como documento base de la acción el dictamen </w:t>
      </w:r>
      <w:r>
        <w:rPr>
          <w:rFonts w:ascii="Arial" w:hAnsi="Arial"/>
          <w:b/>
          <w:i w:val="0"/>
          <w:sz w:val="28"/>
        </w:rPr>
        <w:t>[NÚMERO DE EXPEDIENTE CONDUSEF]</w:t>
      </w:r>
      <w:r>
        <w:rPr>
          <w:rFonts w:ascii="Arial" w:hAnsi="Arial"/>
          <w:b w:val="0"/>
          <w:i w:val="0"/>
          <w:sz w:val="28"/>
        </w:rPr>
        <w:t xml:space="preserve">, emitido el </w:t>
      </w:r>
      <w:r>
        <w:rPr>
          <w:rFonts w:ascii="Arial" w:hAnsi="Arial"/>
          <w:b/>
          <w:i w:val="0"/>
          <w:sz w:val="28"/>
        </w:rPr>
        <w:t>[FECHA DEL DICTAMEN]</w:t>
      </w:r>
      <w:r>
        <w:rPr>
          <w:rFonts w:ascii="Arial" w:hAnsi="Arial"/>
          <w:b w:val="0"/>
          <w:i w:val="0"/>
          <w:sz w:val="28"/>
        </w:rPr>
        <w:t xml:space="preserve"> con fundamento en el artículo 68 Bis de la Ley de Protección y Defensa al Usuario de Servicios Financieros.</w:t>
      </w:r>
    </w:p>
    <w:p>
      <w:pPr>
        <w:spacing w:line="360" w:lineRule="auto"/>
        <w:jc w:val="both"/>
      </w:pPr>
      <w:r>
        <w:rPr>
          <w:rFonts w:ascii="Arial" w:hAnsi="Arial"/>
          <w:b w:val="0"/>
          <w:i w:val="0"/>
          <w:sz w:val="28"/>
        </w:rPr>
        <w:t xml:space="preserve">En ese dictamen, la Comisión determinó la existencia de transferencias electrónicas realizadas el </w:t>
      </w:r>
      <w:r>
        <w:rPr>
          <w:rFonts w:ascii="Arial" w:hAnsi="Arial"/>
          <w:b/>
          <w:i w:val="0"/>
          <w:sz w:val="28"/>
        </w:rPr>
        <w:t>[FECHA DE LAS TRANSFERENCIAS NO RECONOCIDAS]</w:t>
      </w:r>
      <w:r>
        <w:rPr>
          <w:rFonts w:ascii="Arial" w:hAnsi="Arial"/>
          <w:b w:val="0"/>
          <w:i w:val="0"/>
          <w:sz w:val="28"/>
        </w:rPr>
        <w:t xml:space="preserve"> con cargo a la cuenta de la persona quejosa, que ésta no reconoció; constató que la institución financiera no acreditó que tales operaciones hubieran sido autorizadas conforme a los mecanismos pactados en el contrato, y fijó a favor de la usuaria una cantidad líquida por </w:t>
      </w:r>
      <w:r>
        <w:rPr>
          <w:rFonts w:ascii="Arial" w:hAnsi="Arial"/>
          <w:b/>
          <w:i w:val="0"/>
          <w:sz w:val="28"/>
        </w:rPr>
        <w:t>[MONTO DETERMINADO EN EL DICTAMEN]</w:t>
      </w:r>
      <w:r>
        <w:rPr>
          <w:rFonts w:ascii="Arial" w:hAnsi="Arial"/>
          <w:b w:val="0"/>
          <w:i w:val="0"/>
          <w:sz w:val="28"/>
        </w:rPr>
        <w:t>.</w:t>
      </w:r>
    </w:p>
    <w:p>
      <w:pPr>
        <w:spacing w:line="360" w:lineRule="auto"/>
        <w:jc w:val="both"/>
      </w:pPr>
      <w:r>
        <w:rPr>
          <w:rFonts w:ascii="Arial" w:hAnsi="Arial"/>
          <w:b w:val="0"/>
          <w:i w:val="0"/>
          <w:sz w:val="28"/>
        </w:rPr>
        <w:t xml:space="preserve">No obstante, en la sentencia reclamada, dictada el </w:t>
      </w:r>
      <w:r>
        <w:rPr>
          <w:rFonts w:ascii="Arial" w:hAnsi="Arial"/>
          <w:b/>
          <w:i w:val="0"/>
          <w:sz w:val="28"/>
        </w:rPr>
        <w:t>[FECHA DE LA SENTENCIA RECLAMADA]</w:t>
      </w:r>
      <w:r>
        <w:rPr>
          <w:rFonts w:ascii="Arial" w:hAnsi="Arial"/>
          <w:b w:val="0"/>
          <w:i w:val="0"/>
          <w:sz w:val="28"/>
        </w:rPr>
        <w:t xml:space="preserve">, la responsable sostuvo, en el considerando </w:t>
      </w:r>
      <w:r>
        <w:rPr>
          <w:rFonts w:ascii="Arial" w:hAnsi="Arial"/>
          <w:b/>
          <w:i w:val="0"/>
          <w:sz w:val="28"/>
        </w:rPr>
        <w:t>[CONSIDERANDO DE LA SENTENCIA RECLAMADA]</w:t>
      </w:r>
      <w:r>
        <w:rPr>
          <w:rFonts w:ascii="Arial" w:hAnsi="Arial"/>
          <w:b w:val="0"/>
          <w:i w:val="0"/>
          <w:sz w:val="28"/>
        </w:rPr>
        <w:t xml:space="preserve">, foja </w:t>
      </w:r>
      <w:r>
        <w:rPr>
          <w:rFonts w:ascii="Arial" w:hAnsi="Arial"/>
          <w:b/>
          <w:i w:val="0"/>
          <w:sz w:val="28"/>
        </w:rPr>
        <w:t>[FOJA DE LA SENTENCIA RECLAMADA]</w:t>
      </w:r>
      <w:r>
        <w:rPr>
          <w:rFonts w:ascii="Arial" w:hAnsi="Arial"/>
          <w:b w:val="0"/>
          <w:i w:val="0"/>
          <w:sz w:val="28"/>
        </w:rPr>
        <w:t>, que el dictamen no constituye título ejecutivo porque, a su juicio, no acredita por sí mismo que las operaciones se hubieran efectuado sin el consentimiento de la cuentahabiente y, por ende, la obligación que consigna no sería cierta ni exigible, máxime que la institución demandada objetó las operaciones.</w:t>
      </w:r>
    </w:p>
    <w:p>
      <w:pPr>
        <w:spacing w:line="360" w:lineRule="auto"/>
        <w:jc w:val="both"/>
      </w:pPr>
      <w:r>
        <w:rPr>
          <w:rFonts w:ascii="Arial" w:hAnsi="Arial"/>
          <w:b w:val="0"/>
          <w:i w:val="0"/>
          <w:sz w:val="28"/>
        </w:rPr>
        <w:t>Ese razonamiento causa a la persona quejosa un perjuicio directo e inmediato: la despoja del instrumento de cobro expedito que la ley le otorga, la condena a transitar un juicio de conocimiento que el legislador quiso ahorrarle y deja indefinidamente en poder del banco los recursos que la propia Comisión determinó indebidamente dispuestos. Como se demostrará, esa decisión contraviene el texto del precepto, la jurisprudencia obligatoria que lo interpreta y las reglas de distribución de la carga de la prueba.</w:t>
      </w:r>
    </w:p>
    <w:p>
      <w:pPr>
        <w:spacing w:line="360" w:lineRule="auto"/>
        <w:jc w:val="both"/>
      </w:pPr>
      <w:r>
        <w:rPr>
          <w:rFonts w:ascii="Arial" w:hAnsi="Arial"/>
          <w:b/>
          <w:i w:val="0"/>
          <w:sz w:val="28"/>
        </w:rPr>
        <w:t>III. Desarrollo de la premisa normativa.</w:t>
      </w:r>
      <w:r>
        <w:rPr>
          <w:rFonts w:ascii="Arial" w:hAnsi="Arial"/>
          <w:b w:val="0"/>
          <w:i w:val="0"/>
          <w:sz w:val="28"/>
        </w:rPr>
        <w:t xml:space="preserve"> El artículo 68 Bis de la Ley de Protección y Defensa al Usuario de Servicios Financieros prevé que el dictamen de la Comisión constituye título ejecutivo cuando consigna, a juicio del propio organismo, una obligación contractual incumplida, cierta, exigible y líquida. El legislador creó así un documento privilegiado que permite a la parte usuaria acceder a la vía ejecutiva sin agotar previamente un juicio ordinario, como decisión deliberada de política legislativa en favor de la parte débil de la relación financiera.</w:t>
      </w:r>
    </w:p>
    <w:p>
      <w:pPr>
        <w:spacing w:line="360" w:lineRule="auto"/>
        <w:jc w:val="both"/>
      </w:pPr>
      <w:r>
        <w:rPr>
          <w:rFonts w:ascii="Arial" w:hAnsi="Arial"/>
          <w:b w:val="0"/>
          <w:i w:val="0"/>
          <w:sz w:val="28"/>
        </w:rPr>
        <w:t>Esa comprensión es hoy jurisprudencia obligatoria. El Pleno Regional en Materias Administrativa y Civil de la Región Centro-Norte, con residencia en la Ciudad de México, al resolver la contradicción de criterios 7/2026, suscitada entre los Tribunales Colegiados Primero y Segundo en Materias Civil y Administrativa del Noveno Circuito, aprobó la jurisprudencia identificada con la clave PR.A.C.CN. J/6 C (12a.), registro digital 2032547, publicada en el Semanario Judicial de la Federación el viernes 21 de agosto de 2026, de aplicación obligatoria a partir del lunes 24 de agosto de 2026, cuyo rubro se transcribe a continuación.</w:t>
      </w:r>
    </w:p>
    <w:p>
      <w:pPr>
        <w:spacing w:line="360" w:lineRule="auto"/>
        <w:jc w:val="both"/>
      </w:pPr>
      <w:r>
        <w:rPr>
          <w:rFonts w:ascii="Arial" w:hAnsi="Arial"/>
          <w:b w:val="0"/>
          <w:i/>
          <w:sz w:val="28"/>
        </w:rPr>
        <w:t>«TÍTULO EJECUTIVO. EL DICTAMEN DE LA COMISIÓN NACIONAL PARA LA PROTECCIÓN Y DEFENSA DE LOS USUARIOS DE SERVICIOS FINANCIEROS (CONDUSEF), QUE DETERMINA LA EXISTENCIA DE TRANSFERENCIAS ELECTRÓNICAS NO RECONOCIDAS POR LA PERSONA CUENTAHABIENTE, TIENE ESA NATURALEZA.»</w:t>
      </w:r>
    </w:p>
    <w:p>
      <w:pPr>
        <w:spacing w:line="360" w:lineRule="auto"/>
        <w:jc w:val="both"/>
      </w:pPr>
      <w:r>
        <w:rPr>
          <w:rFonts w:ascii="Arial" w:hAnsi="Arial"/>
          <w:b w:val="0"/>
          <w:i w:val="0"/>
          <w:sz w:val="28"/>
        </w:rPr>
        <w:t xml:space="preserve">Su criterio jurídico es del tenor literal siguiente: </w:t>
      </w:r>
      <w:r>
        <w:rPr>
          <w:rFonts w:ascii="Arial" w:hAnsi="Arial"/>
          <w:b w:val="0"/>
          <w:i/>
          <w:sz w:val="28"/>
        </w:rPr>
        <w:t>«El dictamen emitido por la CONDUSEF en términos del referido artículo 68 Bis tiene carácter de título ejecutivo si con motivo de operaciones no reconocidas por la usuaria consigna el incumplimiento de una obligación contractual derivada de la falta de acreditación de su autorización por la institución financiera y determina una cantidad cierta, líquida y exigible.»</w:t>
      </w:r>
    </w:p>
    <w:p>
      <w:pPr>
        <w:spacing w:line="360" w:lineRule="auto"/>
        <w:jc w:val="both"/>
      </w:pPr>
      <w:r>
        <w:rPr>
          <w:rFonts w:ascii="Arial" w:hAnsi="Arial"/>
          <w:b w:val="0"/>
          <w:i w:val="0"/>
          <w:sz w:val="28"/>
        </w:rPr>
        <w:t>En su justificación, el Pleno Regional explicó que, tratándose de operaciones no reconocidas —incluidas transferencias electrónicas, retiros u otras disposiciones con cargo a la cuenta—, cuando la institución financiera no acredita su autorización conforme a los mecanismos pactados se actualiza un incumplimiento de naturaleza contractual, porque en virtud del contrato de depósito el banco asume el deber de resguardar los recursos y de verificar que las disposiciones correspondan a instrucciones auténticas del titular.</w:t>
      </w:r>
    </w:p>
    <w:p>
      <w:pPr>
        <w:spacing w:line="360" w:lineRule="auto"/>
        <w:jc w:val="both"/>
      </w:pPr>
      <w:r>
        <w:rPr>
          <w:rFonts w:ascii="Arial" w:hAnsi="Arial"/>
          <w:b w:val="0"/>
          <w:i w:val="0"/>
          <w:sz w:val="28"/>
        </w:rPr>
        <w:t>De ahí que, si el dictamen consigna ese incumplimiento y además fija el monto de los recursos indebidamente dispuestos, contiene una obligación cierta, exigible y cuantificada, es decir, reúne cabalmente los atributos que el artículo 68 Bis exige para que el documento traiga aparejada ejecución. La certeza no depende, entonces, de que la usuaria demuestre judicialmente la ajenidad de las operaciones, sino de que el dictamen consigne el incumplimiento contractual verificado por la Comisión.</w:t>
      </w:r>
    </w:p>
    <w:p>
      <w:pPr>
        <w:spacing w:line="360" w:lineRule="auto"/>
        <w:jc w:val="both"/>
      </w:pPr>
      <w:r>
        <w:rPr>
          <w:rFonts w:ascii="Arial" w:hAnsi="Arial"/>
          <w:b w:val="0"/>
          <w:i w:val="0"/>
          <w:sz w:val="28"/>
        </w:rPr>
        <w:t>La conclusión anterior se refuerza con el método teleológico. La doctrina especializada enseña que la interpretación teleológica consiste en atribuir a la norma el significado que corresponde a la finalidad del precepto, a su ratio legis entendida como la intención práctica que el legislador persiguió al emitirlo.</w:t>
      </w:r>
      <w:r>
        <w:rPr>
          <w:rFonts w:ascii="Arial" w:hAnsi="Arial"/>
          <w:vertAlign w:val="superscript"/>
        </w:rPr>
        <w:t>1</w:t>
      </w:r>
    </w:p>
    <w:p>
      <w:pPr>
        <w:spacing w:line="360" w:lineRule="auto"/>
        <w:jc w:val="both"/>
      </w:pPr>
      <w:r>
        <w:rPr>
          <w:rFonts w:ascii="Arial" w:hAnsi="Arial"/>
          <w:b w:val="0"/>
          <w:i w:val="0"/>
          <w:sz w:val="28"/>
        </w:rPr>
        <w:t>Bajo ese método, el artículo 68 Bis sólo cumple su fin —dotar a la persona usuaria de un instrumento de cobro expedito frente a disposiciones no autorizadas— si el dictamen se acepta como prueba preconstituida de la acción ejecutiva. Exigirle, además, la demostración anticipada de que las operaciones fueron ajenas a su voluntad equivale a vaciar de contenido la institución y a devolver a la usuaria al juicio ordinario del que el legislador quiso liberarla, con lo cual la norma quedaría reducida a letra muerta.</w:t>
      </w:r>
    </w:p>
    <w:p>
      <w:pPr>
        <w:spacing w:line="360" w:lineRule="auto"/>
        <w:jc w:val="both"/>
      </w:pPr>
      <w:r>
        <w:rPr>
          <w:rFonts w:ascii="Arial" w:hAnsi="Arial"/>
          <w:b w:val="0"/>
          <w:i w:val="0"/>
          <w:sz w:val="28"/>
        </w:rPr>
        <w:t xml:space="preserve">La distribución de la carga probatoria conduce a la misma conclusión. La doctrina recuerda la directiva clásica conforme a la cual </w:t>
      </w:r>
      <w:r>
        <w:rPr>
          <w:rFonts w:ascii="Arial" w:hAnsi="Arial"/>
          <w:b w:val="0"/>
          <w:i/>
          <w:sz w:val="28"/>
        </w:rPr>
        <w:t>«quien afirma está obligado a probar, no quien niega»</w:t>
      </w:r>
      <w:r>
        <w:rPr>
          <w:rFonts w:ascii="Arial" w:hAnsi="Arial"/>
          <w:b w:val="0"/>
          <w:i w:val="0"/>
          <w:sz w:val="28"/>
        </w:rPr>
        <w:t>, con los matices que el derecho positivo le imprime, y distingue con precisión entre las cargas de argumentación y las de prueba.</w:t>
      </w:r>
      <w:r>
        <w:rPr>
          <w:rFonts w:ascii="Arial" w:hAnsi="Arial"/>
          <w:vertAlign w:val="superscript"/>
        </w:rPr>
        <w:t>2</w:t>
      </w:r>
    </w:p>
    <w:p>
      <w:pPr>
        <w:spacing w:line="360" w:lineRule="auto"/>
        <w:jc w:val="both"/>
      </w:pPr>
      <w:r>
        <w:rPr>
          <w:rFonts w:ascii="Arial" w:hAnsi="Arial"/>
          <w:b w:val="0"/>
          <w:i w:val="0"/>
          <w:sz w:val="28"/>
        </w:rPr>
        <w:t xml:space="preserve">La persona cuentahabiente que desconoce una transferencia sostiene un hecho negativo: no haber girado la instrucción de pago. En cambio, la institución financiera, que registró, procesó y ejecutó la operación en sus propios sistemas, es la única en aptitud de exhibir los registros de </w:t>
      </w:r>
      <w:r>
        <w:rPr>
          <w:rFonts w:ascii="Arial" w:hAnsi="Arial"/>
          <w:b/>
          <w:i w:val="0"/>
          <w:sz w:val="28"/>
        </w:rPr>
        <w:t>[MECANISMOS DE AUTORIZACIÓN PACTADOS EN EL CONTRATO]</w:t>
      </w:r>
      <w:r>
        <w:rPr>
          <w:rFonts w:ascii="Arial" w:hAnsi="Arial"/>
          <w:b w:val="0"/>
          <w:i w:val="0"/>
          <w:sz w:val="28"/>
        </w:rPr>
        <w:t xml:space="preserve"> y de demostrar que la instrucción provino auténticamente de la titular. Quien afirma que la operación fue autorizada es el banco, y a él corresponde probarlo.</w:t>
      </w:r>
    </w:p>
    <w:p>
      <w:pPr>
        <w:spacing w:line="360" w:lineRule="auto"/>
        <w:jc w:val="both"/>
      </w:pPr>
      <w:r>
        <w:rPr>
          <w:rFonts w:ascii="Arial" w:hAnsi="Arial"/>
          <w:b w:val="0"/>
          <w:i w:val="0"/>
          <w:sz w:val="28"/>
        </w:rPr>
        <w:t>La doctrina contemporánea añade que la igualdad sustantiva entre las partes se materializa a través de la carga dinámica de la prueba, que puede conducir, excepcionalmente, a la inversión de la carga probatoria como herramienta del juzgador para garantizar la igualdad de las partes y el debido proceso.</w:t>
      </w:r>
      <w:r>
        <w:rPr>
          <w:rFonts w:ascii="Arial" w:hAnsi="Arial"/>
          <w:vertAlign w:val="superscript"/>
        </w:rPr>
        <w:t>3</w:t>
      </w:r>
      <w:r>
        <w:rPr>
          <w:rFonts w:ascii="Arial" w:hAnsi="Arial"/>
          <w:b w:val="0"/>
          <w:i w:val="0"/>
          <w:sz w:val="28"/>
        </w:rPr>
        <w:t xml:space="preserve"> En la relación entre una persona usuaria y una institución financiera, la asimetría técnica y probatoria es evidente: los registros informáticos de autenticación están exclusivamente en poder del banco.</w:t>
      </w:r>
    </w:p>
    <w:p>
      <w:pPr>
        <w:spacing w:line="360" w:lineRule="auto"/>
        <w:jc w:val="both"/>
      </w:pPr>
      <w:r>
        <w:rPr>
          <w:rFonts w:ascii="Arial" w:hAnsi="Arial"/>
          <w:b w:val="0"/>
          <w:i w:val="0"/>
          <w:sz w:val="28"/>
        </w:rPr>
        <w:t>Finalmente, la doctrina sobre la jurisprudencia destaca que ésta obliga a los órganos jurisdiccionales de menor rango que aquel que la dictó y que su carácter obligatorio no se agota con la transcripción ni con la síntesis del criterio, sino que exige que el asunto se resuelva tomando en cuenta el criterio que contiene.</w:t>
      </w:r>
      <w:r>
        <w:rPr>
          <w:rFonts w:ascii="Arial" w:hAnsi="Arial"/>
          <w:vertAlign w:val="superscript"/>
        </w:rPr>
        <w:t>4</w:t>
      </w:r>
      <w:r>
        <w:rPr>
          <w:rFonts w:ascii="Arial" w:hAnsi="Arial"/>
          <w:b w:val="0"/>
          <w:i w:val="0"/>
          <w:sz w:val="28"/>
        </w:rPr>
        <w:t xml:space="preserve"> La responsable, órgano jurisdiccional vinculado por los criterios de los Plenos Regionales, estaba constreñida a resolver conforme a la jurisprudencia transcrita y no lo hizo.</w:t>
      </w:r>
    </w:p>
    <w:p>
      <w:pPr>
        <w:spacing w:line="360" w:lineRule="auto"/>
        <w:jc w:val="both"/>
      </w:pPr>
      <w:r>
        <w:rPr>
          <w:rFonts w:ascii="Arial" w:hAnsi="Arial"/>
          <w:b/>
          <w:i w:val="0"/>
          <w:sz w:val="28"/>
        </w:rPr>
        <w:t>IV. Aplicación al caso concreto y refutación de la sentencia reclamada.</w:t>
      </w:r>
      <w:r>
        <w:rPr>
          <w:rFonts w:ascii="Arial" w:hAnsi="Arial"/>
          <w:b w:val="0"/>
          <w:i w:val="0"/>
          <w:sz w:val="28"/>
        </w:rPr>
        <w:t xml:space="preserve"> La premisa menor es incontrovertible y consta en autos: existe un dictamen de la Comisión, emitido con fundamento en el artículo 68 Bis, que consigna el incumplimiento contractual de la institución demandada —derivado de no haber acreditado la autorización de las transferencias conforme a los mecanismos pactados— y que fija una cantidad líquida a favor de la persona quejosa. El caso encuadra, punto por punto, en el supuesto de la jurisprudencia PR.A.C.CN. J/6 C (12a.).</w:t>
      </w:r>
    </w:p>
    <w:p>
      <w:pPr>
        <w:spacing w:line="360" w:lineRule="auto"/>
        <w:jc w:val="both"/>
      </w:pPr>
      <w:r>
        <w:rPr>
          <w:rFonts w:ascii="Arial" w:hAnsi="Arial"/>
          <w:b w:val="0"/>
          <w:i w:val="0"/>
          <w:sz w:val="28"/>
        </w:rPr>
        <w:t xml:space="preserve">Pese a ello, la responsable negó la ejecutividad del documento con el argumento de que éste no demuestra que las operaciones se hubieran realizado sin consentimiento de la cuentahabiente. Ese razonamiento incurre en la falacia de petición de principio, pues, como explica la doctrina, postular lo del principio es </w:t>
      </w:r>
      <w:r>
        <w:rPr>
          <w:rFonts w:ascii="Arial" w:hAnsi="Arial"/>
          <w:b w:val="0"/>
          <w:i/>
          <w:sz w:val="28"/>
        </w:rPr>
        <w:t>«demostrar por sí mismo lo que no está claro o no es conocido por sí mismo, esto es: no demostrar»</w:t>
      </w:r>
      <w:r>
        <w:rPr>
          <w:rFonts w:ascii="Arial" w:hAnsi="Arial"/>
          <w:b w:val="0"/>
          <w:i w:val="0"/>
          <w:sz w:val="28"/>
        </w:rPr>
        <w:t>.</w:t>
      </w:r>
      <w:r>
        <w:rPr>
          <w:rFonts w:ascii="Arial" w:hAnsi="Arial"/>
          <w:vertAlign w:val="superscript"/>
        </w:rPr>
        <w:t>5</w:t>
      </w:r>
    </w:p>
    <w:p>
      <w:pPr>
        <w:spacing w:line="360" w:lineRule="auto"/>
        <w:jc w:val="both"/>
      </w:pPr>
      <w:r>
        <w:rPr>
          <w:rFonts w:ascii="Arial" w:hAnsi="Arial"/>
          <w:b w:val="0"/>
          <w:i w:val="0"/>
          <w:sz w:val="28"/>
        </w:rPr>
        <w:t xml:space="preserve">La estructura del error lógico es la siguiente: la responsable debía justificar por qué la obligación consignada en el dictamen no es cierta; para ello utilizó como premisa la afirmación de que la falta de consentimiento </w:t>
      </w:r>
      <w:r>
        <w:rPr>
          <w:rFonts w:ascii="Arial" w:hAnsi="Arial"/>
          <w:b w:val="0"/>
          <w:i/>
          <w:sz w:val="28"/>
        </w:rPr>
        <w:t>«no está demostrada»</w:t>
      </w:r>
      <w:r>
        <w:rPr>
          <w:rFonts w:ascii="Arial" w:hAnsi="Arial"/>
          <w:b w:val="0"/>
          <w:i w:val="0"/>
          <w:sz w:val="28"/>
        </w:rPr>
        <w:t>, siendo que la certeza de la obligación es, por mandato legal, precisamente lo que el dictamen preconstituye. La conclusión —el título no es ejecutivo— se apoya en negar de entrada el efecto probatorio que la ley atribuye al documento, es decir, en dar por resuelto contra la usuaria el punto que estaba por demostrarse.</w:t>
      </w:r>
    </w:p>
    <w:p>
      <w:pPr>
        <w:spacing w:line="360" w:lineRule="auto"/>
        <w:jc w:val="both"/>
      </w:pPr>
      <w:r>
        <w:rPr>
          <w:rFonts w:ascii="Arial" w:hAnsi="Arial"/>
          <w:b w:val="0"/>
          <w:i w:val="0"/>
          <w:sz w:val="28"/>
        </w:rPr>
        <w:t xml:space="preserve">A ello se suma que, conforme a la propia doctrina, lo que sirve de prueba en un argumento </w:t>
      </w:r>
      <w:r>
        <w:rPr>
          <w:rFonts w:ascii="Arial" w:hAnsi="Arial"/>
          <w:b w:val="0"/>
          <w:i/>
          <w:sz w:val="28"/>
        </w:rPr>
        <w:t>«debe ser más claro y conocido que lo que se quiere probar»</w:t>
      </w:r>
      <w:r>
        <w:rPr>
          <w:rFonts w:ascii="Arial" w:hAnsi="Arial"/>
          <w:b w:val="0"/>
          <w:i w:val="0"/>
          <w:sz w:val="28"/>
        </w:rPr>
        <w:t>.</w:t>
      </w:r>
      <w:r>
        <w:rPr>
          <w:rFonts w:ascii="Arial" w:hAnsi="Arial"/>
          <w:vertAlign w:val="superscript"/>
        </w:rPr>
        <w:t>6</w:t>
      </w:r>
      <w:r>
        <w:rPr>
          <w:rFonts w:ascii="Arial" w:hAnsi="Arial"/>
          <w:b w:val="0"/>
          <w:i w:val="0"/>
          <w:sz w:val="28"/>
        </w:rPr>
        <w:t xml:space="preserve"> La responsable hizo exactamente lo contrario: tomó como apoyo de su conclusión la simple objeción unilateral de la institución demandada, un acto de parte interesada que nada acredita, y le otorgó el peso de destruir la eficacia de un documento al que la ley confiere el rango de título ejecutivo.</w:t>
      </w:r>
    </w:p>
    <w:p>
      <w:pPr>
        <w:spacing w:line="360" w:lineRule="auto"/>
        <w:jc w:val="both"/>
      </w:pPr>
      <w:r>
        <w:rPr>
          <w:rFonts w:ascii="Arial" w:hAnsi="Arial"/>
          <w:b w:val="0"/>
          <w:i w:val="0"/>
          <w:sz w:val="28"/>
        </w:rPr>
        <w:t>El vicio se agrava porque el fallo invierte la carga de la prueba en sentido inverso al que ordenan la ley y la jurisprudencia. En lugar de exigir a la institución financiera —única con acceso a los registros de autenticación— la demostración de que las transferencias fueron autorizadas conforme a los mecanismos pactados, la sentencia impone a la persona usuaria la prueba de un hecho negativo, con lo que consagra la desigualdad procesal que la carga dinámica de la prueba está llamada a corregir y hace nugatoria la verificación que la Comisión ya realizó en sede administrativa.</w:t>
      </w:r>
    </w:p>
    <w:p>
      <w:pPr>
        <w:spacing w:line="360" w:lineRule="auto"/>
        <w:jc w:val="both"/>
      </w:pPr>
      <w:r>
        <w:rPr>
          <w:rFonts w:ascii="Arial" w:hAnsi="Arial"/>
          <w:b w:val="0"/>
          <w:i w:val="0"/>
          <w:sz w:val="28"/>
        </w:rPr>
        <w:t>Tampoco es válido el argumento de que reconocer la ejecutividad del dictamen dejaría inaudita a la institución financiera. El juicio ejecutivo mercantil no suprime su defensa: la demandada conserva la oportunidad de oponer excepciones y de probar, con sus propios registros, que las operaciones fueron autorizadas por la titular. Lo que el título ejecutivo hace es distribuir correctamente las posiciones procesales, colocando la carga de desvirtuar la certeza del documento en quien incumplió su deber de verificación, no en quien lo padeció.</w:t>
      </w:r>
    </w:p>
    <w:p>
      <w:pPr>
        <w:spacing w:line="360" w:lineRule="auto"/>
        <w:jc w:val="both"/>
      </w:pPr>
      <w:r>
        <w:rPr>
          <w:rFonts w:ascii="Arial" w:hAnsi="Arial"/>
          <w:b w:val="0"/>
          <w:i w:val="0"/>
          <w:sz w:val="28"/>
        </w:rPr>
        <w:t>Por último, la negativa a reconocer la vía ejecutiva no es un desacierto inocuo, sino una barrera de acceso a la jurisdicción. El derecho fundamental a la tutela judicial efectiva, reconocido en el artículo 17 constitucional, impone remover los obstáculos que dificultan a las personas obtener la satisfacción de sus derechos en un tiempo razonable; obligar a la usuaria a un segundo litigio de conocimiento, después del procedimiento seguido ante la Comisión, prolonga injustificadamente la privación de sus recursos y frustra la finalidad protectora del sistema.</w:t>
      </w:r>
    </w:p>
    <w:p>
      <w:pPr>
        <w:spacing w:line="360" w:lineRule="auto"/>
        <w:jc w:val="both"/>
      </w:pPr>
      <w:r>
        <w:rPr>
          <w:rFonts w:ascii="Arial" w:hAnsi="Arial"/>
          <w:b/>
          <w:i w:val="0"/>
          <w:sz w:val="28"/>
        </w:rPr>
        <w:t>V. Conclusión y petición parcial.</w:t>
      </w:r>
      <w:r>
        <w:rPr>
          <w:rFonts w:ascii="Arial" w:hAnsi="Arial"/>
          <w:b w:val="0"/>
          <w:i w:val="0"/>
          <w:sz w:val="28"/>
        </w:rPr>
        <w:t xml:space="preserve"> La sentencia reclamada descansa en una petición de principio, invierte la carga de la prueba en perjuicio de la parte débil de la relación financiera y desacata una jurisprudencia de aplicación obligatoria, por lo que viola los artículos 14, 16 y 17 constitucionales, en relación con el artículo 68 Bis de la Ley de Protección y Defensa al Usuario de Servicios Financieros.</w:t>
      </w:r>
    </w:p>
    <w:p>
      <w:pPr>
        <w:spacing w:line="360" w:lineRule="auto"/>
        <w:jc w:val="both"/>
      </w:pPr>
      <w:r>
        <w:rPr>
          <w:rFonts w:ascii="Arial" w:hAnsi="Arial"/>
          <w:b w:val="0"/>
          <w:i w:val="0"/>
          <w:sz w:val="28"/>
        </w:rPr>
        <w:t xml:space="preserve">En consecuencia, lo procedente es conceder a la persona quejosa el amparo y protección de la Justicia Federal, para el efecto de que la autoridad responsable deje insubsistente la sentencia reclamada y dicte otra en la que, en acatamiento de la jurisprudencia PR.A.C.CN. J/6 C (12a.), registro digital 2032547, reconozca el carácter de título ejecutivo del dictamen </w:t>
      </w:r>
      <w:r>
        <w:rPr>
          <w:rFonts w:ascii="Arial" w:hAnsi="Arial"/>
          <w:b/>
          <w:i w:val="0"/>
          <w:sz w:val="28"/>
        </w:rPr>
        <w:t>[NÚMERO DE EXPEDIENTE CONDUSEF]</w:t>
      </w:r>
      <w:r>
        <w:rPr>
          <w:rFonts w:ascii="Arial" w:hAnsi="Arial"/>
          <w:b w:val="0"/>
          <w:i w:val="0"/>
          <w:sz w:val="28"/>
        </w:rPr>
        <w:t xml:space="preserve">, tenga por procedente la vía ejecutiva mercantil y, con plenitud de jurisdicción, resuelva lo que en derecho corresponda sobre la condena al pago de </w:t>
      </w:r>
      <w:r>
        <w:rPr>
          <w:rFonts w:ascii="Arial" w:hAnsi="Arial"/>
          <w:b/>
          <w:i w:val="0"/>
          <w:sz w:val="28"/>
        </w:rPr>
        <w:t>[MONTO DETERMINADO EN EL DICTAMEN]</w:t>
      </w:r>
      <w:r>
        <w:rPr>
          <w:rFonts w:ascii="Arial" w:hAnsi="Arial"/>
          <w:b w:val="0"/>
          <w:i w:val="0"/>
          <w:sz w:val="28"/>
        </w:rPr>
        <w:t xml:space="preserve"> y sus accesorios legales.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1281.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89.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356.</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 p. 95.</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76.</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