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RECURSO DE QUEJA CONTRA LA SUSPENSIÓN QUE PARALIZA LA AUDIENCIA INICIAL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archivo, ábrelo en tu procesador de textos y sustituye cada campo entre corchetes por los datos de tu expediente; después integra este apartado a tu escrito de queja (proemio, capítulo de agravios y firmas). Verifica en el acuse la fecha de notificación del auto recurrido y el plazo aplicable a la queja contra la suspensión provisional antes de presentar. Revisa que el efecto de la suspensión concedida sea precisamente impedir la continuación de la audiencia inicial: de esa identidad depende la fuerza del agravio.</w:t>
      </w:r>
    </w:p>
    <w:p>
      <w:pPr>
        <w:spacing w:line="360" w:lineRule="auto"/>
        <w:jc w:val="both"/>
      </w:pPr>
      <w:r>
        <w:rPr>
          <w:rFonts w:ascii="Arial" w:hAnsi="Arial"/>
          <w:b/>
          <w:i w:val="0"/>
          <w:sz w:val="24"/>
        </w:rPr>
        <w:t>[FECHA DEL AUTO RECURRIDO]</w:t>
      </w:r>
      <w:r>
        <w:rPr>
          <w:rFonts w:ascii="Arial" w:hAnsi="Arial"/>
          <w:b w:val="0"/>
          <w:i w:val="0"/>
          <w:sz w:val="24"/>
        </w:rPr>
        <w:t>: fecha del auto del juzgado de distrito que concedió la suspensión provisional.</w:t>
      </w:r>
    </w:p>
    <w:p>
      <w:pPr>
        <w:spacing w:line="360" w:lineRule="auto"/>
        <w:jc w:val="both"/>
      </w:pPr>
      <w:r>
        <w:rPr>
          <w:rFonts w:ascii="Arial" w:hAnsi="Arial"/>
          <w:b/>
          <w:i w:val="0"/>
          <w:sz w:val="24"/>
        </w:rPr>
        <w:t>[JUZGADO DE DISTRITO DEL CONOCIMIENTO]</w:t>
      </w:r>
      <w:r>
        <w:rPr>
          <w:rFonts w:ascii="Arial" w:hAnsi="Arial"/>
          <w:b w:val="0"/>
          <w:i w:val="0"/>
          <w:sz w:val="24"/>
        </w:rPr>
        <w:t>: denominación completa del juzgado que dictó el auto.</w:t>
      </w:r>
    </w:p>
    <w:p>
      <w:pPr>
        <w:spacing w:line="360" w:lineRule="auto"/>
        <w:jc w:val="both"/>
      </w:pPr>
      <w:r>
        <w:rPr>
          <w:rFonts w:ascii="Arial" w:hAnsi="Arial"/>
          <w:b/>
          <w:i w:val="0"/>
          <w:sz w:val="24"/>
        </w:rPr>
        <w:t>[NÚMERO DEL INCIDENTE DE SUSPENSIÓN]</w:t>
      </w:r>
      <w:r>
        <w:rPr>
          <w:rFonts w:ascii="Arial" w:hAnsi="Arial"/>
          <w:b w:val="0"/>
          <w:i w:val="0"/>
          <w:sz w:val="24"/>
        </w:rPr>
        <w:t>: expediente del incidente derivado del amparo indirecto.</w:t>
      </w:r>
    </w:p>
    <w:p>
      <w:pPr>
        <w:spacing w:line="360" w:lineRule="auto"/>
        <w:jc w:val="both"/>
      </w:pPr>
      <w:r>
        <w:rPr>
          <w:rFonts w:ascii="Arial" w:hAnsi="Arial"/>
          <w:b/>
          <w:i w:val="0"/>
          <w:sz w:val="24"/>
        </w:rPr>
        <w:t>[NOMBRE DE LA VÍCTIMA U OFENDIDO RECURRENTE]</w:t>
      </w:r>
      <w:r>
        <w:rPr>
          <w:rFonts w:ascii="Arial" w:hAnsi="Arial"/>
          <w:b w:val="0"/>
          <w:i w:val="0"/>
          <w:sz w:val="24"/>
        </w:rPr>
        <w:t>: quien interpone la queja como parte tercera interesada.</w:t>
      </w:r>
    </w:p>
    <w:p>
      <w:pPr>
        <w:spacing w:line="360" w:lineRule="auto"/>
        <w:jc w:val="both"/>
      </w:pPr>
      <w:r>
        <w:rPr>
          <w:rFonts w:ascii="Arial" w:hAnsi="Arial"/>
          <w:b/>
          <w:i w:val="0"/>
          <w:sz w:val="24"/>
        </w:rPr>
        <w:t>[DELITO MATERIA DE LA IMPUTACIÓN]</w:t>
      </w:r>
      <w:r>
        <w:rPr>
          <w:rFonts w:ascii="Arial" w:hAnsi="Arial"/>
          <w:b w:val="0"/>
          <w:i w:val="0"/>
          <w:sz w:val="24"/>
        </w:rPr>
        <w:t>: delito por el que se sigue la causa penal.</w:t>
      </w:r>
    </w:p>
    <w:p>
      <w:pPr>
        <w:spacing w:line="360" w:lineRule="auto"/>
        <w:jc w:val="both"/>
      </w:pPr>
      <w:r>
        <w:rPr>
          <w:rFonts w:ascii="Arial" w:hAnsi="Arial"/>
          <w:b/>
          <w:i w:val="0"/>
          <w:sz w:val="24"/>
        </w:rPr>
        <w:t>[NOMBRE DE LA PERSONA IMPUTADA QUEJOSA]</w:t>
      </w:r>
      <w:r>
        <w:rPr>
          <w:rFonts w:ascii="Arial" w:hAnsi="Arial"/>
          <w:b w:val="0"/>
          <w:i w:val="0"/>
          <w:sz w:val="24"/>
        </w:rPr>
        <w:t>: promovente del amparo que obtuvo la suspensión.</w:t>
      </w:r>
    </w:p>
    <w:p>
      <w:pPr>
        <w:spacing w:line="360" w:lineRule="auto"/>
        <w:jc w:val="both"/>
      </w:pPr>
      <w:r>
        <w:rPr>
          <w:rFonts w:ascii="Arial" w:hAnsi="Arial"/>
          <w:b/>
          <w:i w:val="0"/>
          <w:sz w:val="24"/>
        </w:rPr>
        <w:t>[FECHA DE LA RESOLUCIÓN DE ALZADA RECLAMADA]</w:t>
      </w:r>
      <w:r>
        <w:rPr>
          <w:rFonts w:ascii="Arial" w:hAnsi="Arial"/>
          <w:b w:val="0"/>
          <w:i w:val="0"/>
          <w:sz w:val="24"/>
        </w:rPr>
        <w:t>: fecha de la resolución que revocó la calificación de ilegal detención.</w:t>
      </w:r>
    </w:p>
    <w:p>
      <w:pPr>
        <w:spacing w:line="360" w:lineRule="auto"/>
        <w:jc w:val="both"/>
      </w:pPr>
      <w:r>
        <w:rPr>
          <w:rFonts w:ascii="Arial" w:hAnsi="Arial"/>
          <w:b/>
          <w:i w:val="0"/>
          <w:sz w:val="24"/>
        </w:rPr>
        <w:t>[TRIBUNAL DE ALZADA RESPONSABLE]</w:t>
      </w:r>
      <w:r>
        <w:rPr>
          <w:rFonts w:ascii="Arial" w:hAnsi="Arial"/>
          <w:b w:val="0"/>
          <w:i w:val="0"/>
          <w:sz w:val="24"/>
        </w:rPr>
        <w:t>: órgano que dictó esa resolución.</w:t>
      </w:r>
    </w:p>
    <w:p>
      <w:pPr>
        <w:spacing w:line="360" w:lineRule="auto"/>
        <w:jc w:val="both"/>
      </w:pPr>
      <w:r>
        <w:rPr>
          <w:rFonts w:ascii="Arial" w:hAnsi="Arial"/>
          <w:b/>
          <w:i w:val="0"/>
          <w:sz w:val="24"/>
        </w:rPr>
        <w:t>[NÚMERO DEL TOCA DE APELACIÓN]</w:t>
      </w:r>
      <w:r>
        <w:rPr>
          <w:rFonts w:ascii="Arial" w:hAnsi="Arial"/>
          <w:b w:val="0"/>
          <w:i w:val="0"/>
          <w:sz w:val="24"/>
        </w:rPr>
        <w:t>: toca o recurso en que se dictó la resolución de alzada.</w:t>
      </w:r>
    </w:p>
    <w:p>
      <w:pPr>
        <w:spacing w:line="360" w:lineRule="auto"/>
        <w:jc w:val="both"/>
      </w:pPr>
      <w:r>
        <w:rPr>
          <w:rFonts w:ascii="Arial" w:hAnsi="Arial"/>
          <w:b/>
          <w:i w:val="0"/>
          <w:sz w:val="24"/>
        </w:rPr>
        <w:t>[JUEZ DE CONTROL DE ORIGEN]</w:t>
      </w:r>
      <w:r>
        <w:rPr>
          <w:rFonts w:ascii="Arial" w:hAnsi="Arial"/>
          <w:b w:val="0"/>
          <w:i w:val="0"/>
          <w:sz w:val="24"/>
        </w:rPr>
        <w:t>: juez que había calificado de ilegal la detención.</w:t>
      </w:r>
    </w:p>
    <w:p>
      <w:pPr>
        <w:spacing w:line="360" w:lineRule="auto"/>
        <w:jc w:val="both"/>
      </w:pPr>
      <w:r>
        <w:rPr>
          <w:rFonts w:ascii="Arial" w:hAnsi="Arial"/>
          <w:b/>
          <w:i w:val="0"/>
          <w:sz w:val="24"/>
        </w:rPr>
        <w:t>[NÚMERO DE LA CAUSA PENAL O CARPETA JUDICIAL]</w:t>
      </w:r>
      <w:r>
        <w:rPr>
          <w:rFonts w:ascii="Arial" w:hAnsi="Arial"/>
          <w:b w:val="0"/>
          <w:i w:val="0"/>
          <w:sz w:val="24"/>
        </w:rPr>
        <w:t>: identificador del proceso penal de origen.</w:t>
      </w:r>
    </w:p>
    <w:p>
      <w:pPr>
        <w:spacing w:line="360" w:lineRule="auto"/>
        <w:jc w:val="both"/>
      </w:pPr>
      <w:r>
        <w:rPr>
          <w:rFonts w:ascii="Arial" w:hAnsi="Arial"/>
          <w:b/>
          <w:i w:val="0"/>
          <w:sz w:val="24"/>
        </w:rPr>
        <w:t>[CONSIDERANDO DEL AUTO RECURRIDO QUE CONTIENE LA CONCESIÓN]</w:t>
      </w:r>
      <w:r>
        <w:rPr>
          <w:rFonts w:ascii="Arial" w:hAnsi="Arial"/>
          <w:b w:val="0"/>
          <w:i w:val="0"/>
          <w:sz w:val="24"/>
        </w:rPr>
        <w:t>: apartado exacto del auto donde se concede la medida; cítalo para que el agravio muerda la consideración concreta.</w:t>
      </w:r>
    </w:p>
    <w:p>
      <w:pPr>
        <w:spacing w:line="360" w:lineRule="auto"/>
        <w:jc w:val="both"/>
      </w:pPr>
      <w:r>
        <w:rPr>
          <w:rFonts w:ascii="Arial" w:hAnsi="Arial"/>
          <w:b/>
          <w:i w:val="0"/>
          <w:sz w:val="24"/>
        </w:rPr>
        <w:t>[FECHA SEÑALADA PARA LA CONTINUACIÓN DE LA AUDIENCIA INICIAL]</w:t>
      </w:r>
      <w:r>
        <w:rPr>
          <w:rFonts w:ascii="Arial" w:hAnsi="Arial"/>
          <w:b w:val="0"/>
          <w:i w:val="0"/>
          <w:sz w:val="24"/>
        </w:rPr>
        <w:t>: fecha fijada para reanudar la audiencia paralizada.</w:t>
      </w:r>
    </w:p>
    <w:p/>
    <w:p>
      <w:pPr>
        <w:spacing w:line="360" w:lineRule="auto"/>
        <w:jc w:val="both"/>
      </w:pPr>
      <w:r>
        <w:rPr>
          <w:rFonts w:ascii="Arial" w:hAnsi="Arial"/>
          <w:b/>
          <w:sz w:val="28"/>
        </w:rPr>
        <w:t>AGRAVIO ÚNICO. El auto de [FECHA DEL AUTO RECURRIDO], dictado por el [JUZGADO DE DISTRITO DEL CONOCIMIENTO] dentro del incidente de suspensión [NÚMERO DEL INCIDENTE DE SUSPENSIÓN], es ilegal en la parte en que concede la suspensión provisional para el efecto de que no continúe la audiencia inicial, pues contraviene la prohibición expresa del artículo 150 de la Ley de Amparo y desatiende la jurisprudencia obligatoria PR.P.T.CN. J/15 P (12a.) del Pleno Regional en Materias Penal y de Trabajo de la Región Centro-Norte.</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En este agravio se demostrará que el auto recurrido paralizó indebidamente el procedimiento penal de origen, porque concedió a la persona imputada, aquí quejosa, una suspensión provisional cuyo único efecto es impedir que la audiencia inicial continúe en sus etapas subsecuentes. Esa concesión desconoce la prohibición expresa del artículo 150 de la Ley de Amparo, ignora que la continuación de la audiencia es una consecuencia ordinaria y legalmente prevista del proceso penal acusatorio y descansa en una petición de principio, pues da por probado el daño irreparable que estaba obligada a demostrar.</w:t>
      </w:r>
    </w:p>
    <w:p>
      <w:pPr>
        <w:spacing w:line="360" w:lineRule="auto"/>
        <w:jc w:val="both"/>
      </w:pPr>
      <w:r>
        <w:rPr>
          <w:rFonts w:ascii="Arial" w:hAnsi="Arial"/>
          <w:b w:val="0"/>
          <w:i w:val="0"/>
          <w:sz w:val="28"/>
        </w:rPr>
        <w:t>De prosperar este agravio, ese Tribunal Colegiado deberá revocar el auto recurrido en la parte combatida y negar la suspensión provisional solicitada, con lo cual el proceso penal seguirá su cauce legal y se restablecerá el derecho de la parte recurrente a que su situación se defina sin dilaciones injustificadas.</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persona recurrente, </w:t>
      </w:r>
      <w:r>
        <w:rPr>
          <w:rFonts w:ascii="Arial" w:hAnsi="Arial"/>
          <w:b/>
          <w:i w:val="0"/>
          <w:sz w:val="28"/>
        </w:rPr>
        <w:t>[NOMBRE DE LA VÍCTIMA U OFENDIDO RECURRENTE]</w:t>
      </w:r>
      <w:r>
        <w:rPr>
          <w:rFonts w:ascii="Arial" w:hAnsi="Arial"/>
          <w:b w:val="0"/>
          <w:i w:val="0"/>
          <w:sz w:val="28"/>
        </w:rPr>
        <w:t xml:space="preserve">, comparece como víctima u ofendido del delito de </w:t>
      </w:r>
      <w:r>
        <w:rPr>
          <w:rFonts w:ascii="Arial" w:hAnsi="Arial"/>
          <w:b/>
          <w:i w:val="0"/>
          <w:sz w:val="28"/>
        </w:rPr>
        <w:t>[DELITO MATERIA DE LA IMPUTACIÓN]</w:t>
      </w:r>
      <w:r>
        <w:rPr>
          <w:rFonts w:ascii="Arial" w:hAnsi="Arial"/>
          <w:b w:val="0"/>
          <w:i w:val="0"/>
          <w:sz w:val="28"/>
        </w:rPr>
        <w:t xml:space="preserve"> y como parte tercera interesada en el juicio de amparo indirecto promovido por </w:t>
      </w:r>
      <w:r>
        <w:rPr>
          <w:rFonts w:ascii="Arial" w:hAnsi="Arial"/>
          <w:b/>
          <w:i w:val="0"/>
          <w:sz w:val="28"/>
        </w:rPr>
        <w:t>[NOMBRE DE LA PERSONA IMPUTADA QUEJOSA]</w:t>
      </w:r>
      <w:r>
        <w:rPr>
          <w:rFonts w:ascii="Arial" w:hAnsi="Arial"/>
          <w:b w:val="0"/>
          <w:i w:val="0"/>
          <w:sz w:val="28"/>
        </w:rPr>
        <w:t xml:space="preserve"> contra la resolución de </w:t>
      </w:r>
      <w:r>
        <w:rPr>
          <w:rFonts w:ascii="Arial" w:hAnsi="Arial"/>
          <w:b/>
          <w:i w:val="0"/>
          <w:sz w:val="28"/>
        </w:rPr>
        <w:t>[FECHA DE LA RESOLUCIÓN DE ALZADA RECLAMADA]</w:t>
      </w:r>
      <w:r>
        <w:rPr>
          <w:rFonts w:ascii="Arial" w:hAnsi="Arial"/>
          <w:b w:val="0"/>
          <w:i w:val="0"/>
          <w:sz w:val="28"/>
        </w:rPr>
        <w:t xml:space="preserve">, dictada por el </w:t>
      </w:r>
      <w:r>
        <w:rPr>
          <w:rFonts w:ascii="Arial" w:hAnsi="Arial"/>
          <w:b/>
          <w:i w:val="0"/>
          <w:sz w:val="28"/>
        </w:rPr>
        <w:t>[TRIBUNAL DE ALZADA RESPONSABLE]</w:t>
      </w:r>
      <w:r>
        <w:rPr>
          <w:rFonts w:ascii="Arial" w:hAnsi="Arial"/>
          <w:b w:val="0"/>
          <w:i w:val="0"/>
          <w:sz w:val="28"/>
        </w:rPr>
        <w:t xml:space="preserve"> en el toca </w:t>
      </w:r>
      <w:r>
        <w:rPr>
          <w:rFonts w:ascii="Arial" w:hAnsi="Arial"/>
          <w:b/>
          <w:i w:val="0"/>
          <w:sz w:val="28"/>
        </w:rPr>
        <w:t>[NÚMERO DEL TOCA DE APELACIÓN]</w:t>
      </w:r>
      <w:r>
        <w:rPr>
          <w:rFonts w:ascii="Arial" w:hAnsi="Arial"/>
          <w:b w:val="0"/>
          <w:i w:val="0"/>
          <w:sz w:val="28"/>
        </w:rPr>
        <w:t>.</w:t>
      </w:r>
    </w:p>
    <w:p>
      <w:pPr>
        <w:spacing w:line="360" w:lineRule="auto"/>
        <w:jc w:val="both"/>
      </w:pPr>
      <w:r>
        <w:rPr>
          <w:rFonts w:ascii="Arial" w:hAnsi="Arial"/>
          <w:b w:val="0"/>
          <w:i w:val="0"/>
          <w:sz w:val="28"/>
        </w:rPr>
        <w:t xml:space="preserve">Dicha resolución de alzada revocó la calificación de ilegal detención emitida por el </w:t>
      </w:r>
      <w:r>
        <w:rPr>
          <w:rFonts w:ascii="Arial" w:hAnsi="Arial"/>
          <w:b/>
          <w:i w:val="0"/>
          <w:sz w:val="28"/>
        </w:rPr>
        <w:t>[JUEZ DE CONTROL DE ORIGEN]</w:t>
      </w:r>
      <w:r>
        <w:rPr>
          <w:rFonts w:ascii="Arial" w:hAnsi="Arial"/>
          <w:b w:val="0"/>
          <w:i w:val="0"/>
          <w:sz w:val="28"/>
        </w:rPr>
        <w:t xml:space="preserve"> dentro de la causa </w:t>
      </w:r>
      <w:r>
        <w:rPr>
          <w:rFonts w:ascii="Arial" w:hAnsi="Arial"/>
          <w:b/>
          <w:i w:val="0"/>
          <w:sz w:val="28"/>
        </w:rPr>
        <w:t>[NÚMERO DE LA CAUSA PENAL O CARPETA JUDICIAL]</w:t>
      </w:r>
      <w:r>
        <w:rPr>
          <w:rFonts w:ascii="Arial" w:hAnsi="Arial"/>
          <w:b w:val="0"/>
          <w:i w:val="0"/>
          <w:sz w:val="28"/>
        </w:rPr>
        <w:t xml:space="preserve"> y ordenó la continuación de la audiencia inicial. Contra ella, la persona quejosa promovió el amparo y solicitó la suspensión; en el auto recurrido, concretamente en el </w:t>
      </w:r>
      <w:r>
        <w:rPr>
          <w:rFonts w:ascii="Arial" w:hAnsi="Arial"/>
          <w:b/>
          <w:i w:val="0"/>
          <w:sz w:val="28"/>
        </w:rPr>
        <w:t>[CONSIDERANDO DEL AUTO RECURRIDO QUE CONTIENE LA CONCESIÓN]</w:t>
      </w:r>
      <w:r>
        <w:rPr>
          <w:rFonts w:ascii="Arial" w:hAnsi="Arial"/>
          <w:b w:val="0"/>
          <w:i w:val="0"/>
          <w:sz w:val="28"/>
        </w:rPr>
        <w:t xml:space="preserve">, el juzgado de distrito concedió la suspensión provisional para el único efecto de que la audiencia inicial, señalada para el </w:t>
      </w:r>
      <w:r>
        <w:rPr>
          <w:rFonts w:ascii="Arial" w:hAnsi="Arial"/>
          <w:b/>
          <w:i w:val="0"/>
          <w:sz w:val="28"/>
        </w:rPr>
        <w:t>[FECHA SEÑALADA PARA LA CONTINUACIÓN DE LA AUDIENCIA INICIAL]</w:t>
      </w:r>
      <w:r>
        <w:rPr>
          <w:rFonts w:ascii="Arial" w:hAnsi="Arial"/>
          <w:b w:val="0"/>
          <w:i w:val="0"/>
          <w:sz w:val="28"/>
        </w:rPr>
        <w:t>, no continúe.</w:t>
      </w:r>
    </w:p>
    <w:p>
      <w:pPr>
        <w:spacing w:line="360" w:lineRule="auto"/>
        <w:jc w:val="both"/>
      </w:pPr>
      <w:r>
        <w:rPr>
          <w:rFonts w:ascii="Arial" w:hAnsi="Arial"/>
          <w:b w:val="0"/>
          <w:i w:val="0"/>
          <w:sz w:val="28"/>
        </w:rPr>
        <w:t>Esa determinación es recurrible por esta vía. La doctrina explica que el recurso de queja es el medio de impugnación que procede contra las determinaciones respecto de las cuales la ley no prevé expresamente la revisión, y que el artículo 97 de la Ley de Amparo lo hace proceder, en amparo indirecto, contra los autos que conceden o niegan la suspensión de plano o la provisional, hipótesis del inciso b) de su fracción I.</w:t>
      </w:r>
      <w:r>
        <w:rPr>
          <w:rFonts w:ascii="Arial" w:hAnsi="Arial"/>
          <w:vertAlign w:val="superscript"/>
        </w:rPr>
        <w:t>1</w:t>
      </w:r>
      <w:r>
        <w:rPr>
          <w:rFonts w:ascii="Arial" w:hAnsi="Arial"/>
          <w:b w:val="0"/>
          <w:i w:val="0"/>
          <w:sz w:val="28"/>
        </w:rPr>
        <w:t xml:space="preserve"> La legitimación de la parte recurrente deriva de su carácter de parte en el juicio de amparo y del perjuicio directo que la medida le ocasiona.</w:t>
      </w:r>
    </w:p>
    <w:p>
      <w:pPr>
        <w:spacing w:line="360" w:lineRule="auto"/>
        <w:jc w:val="both"/>
      </w:pPr>
      <w:r>
        <w:rPr>
          <w:rFonts w:ascii="Arial" w:hAnsi="Arial"/>
          <w:b w:val="0"/>
          <w:i w:val="0"/>
          <w:sz w:val="28"/>
        </w:rPr>
        <w:t>El perjuicio es evidente: la paralización de la audiencia inicial pospone indefinidamente la definición de la situación jurídica de la persona imputada y, con ello, difiere el acceso de la víctima a la justicia pronta que garantiza el artículo 17 constitucional, así como el ejercicio efectivo de los derechos que le reconoce el artículo 20, apartado C, de la propia Constitución, entre ellos la reparación del daño, que sólo puede alcanzarse si el proceso penal avanza.</w:t>
      </w:r>
    </w:p>
    <w:p>
      <w:pPr>
        <w:spacing w:line="360" w:lineRule="auto"/>
        <w:jc w:val="both"/>
      </w:pPr>
      <w:r>
        <w:rPr>
          <w:rFonts w:ascii="Arial" w:hAnsi="Arial"/>
          <w:b/>
          <w:sz w:val="28"/>
        </w:rPr>
        <w:t>III. Desarrollo de la premisa mayor. La suspensión es una medida cautelar sujeta al límite infranqueable del artículo 150 de la Ley de Amparo.</w:t>
      </w:r>
    </w:p>
    <w:p>
      <w:pPr>
        <w:spacing w:line="360" w:lineRule="auto"/>
        <w:jc w:val="both"/>
      </w:pPr>
      <w:r>
        <w:rPr>
          <w:rFonts w:ascii="Arial" w:hAnsi="Arial"/>
          <w:b w:val="0"/>
          <w:i w:val="0"/>
          <w:sz w:val="28"/>
        </w:rPr>
        <w:t xml:space="preserve">La suspensión del acto reclamado participa de la naturaleza de las medidas cautelares: su objeto es conservar la materia del amparo y evitar a la persona quejosa daños de difícil reparación mientras se resuelve el fondo. Por ello su otorgamiento no es automático: la doctrina explica que la ponderación de la apariencia del buen derecho exige, con base en el principio de proporcionalidad, sopesar el interés público del acto reclamado frente al de la persona quejosa y los posibles méritos de su pretensión, para establecer, mediante esa </w:t>
      </w:r>
      <w:r>
        <w:rPr>
          <w:rFonts w:ascii="Arial" w:hAnsi="Arial"/>
          <w:b w:val="0"/>
          <w:i/>
          <w:sz w:val="28"/>
        </w:rPr>
        <w:t>«operación ponderativa»</w:t>
      </w:r>
      <w:r>
        <w:rPr>
          <w:rFonts w:ascii="Arial" w:hAnsi="Arial"/>
          <w:b w:val="0"/>
          <w:i w:val="0"/>
          <w:sz w:val="28"/>
        </w:rPr>
        <w:t>, cuál amerita protección cautelar en el caso particular.</w:t>
      </w:r>
      <w:r>
        <w:rPr>
          <w:rFonts w:ascii="Arial" w:hAnsi="Arial"/>
          <w:vertAlign w:val="superscript"/>
        </w:rPr>
        <w:t>2</w:t>
      </w:r>
    </w:p>
    <w:p>
      <w:pPr>
        <w:spacing w:line="360" w:lineRule="auto"/>
        <w:jc w:val="both"/>
      </w:pPr>
      <w:r>
        <w:rPr>
          <w:rFonts w:ascii="Arial" w:hAnsi="Arial"/>
          <w:b w:val="0"/>
          <w:i w:val="0"/>
          <w:sz w:val="28"/>
        </w:rPr>
        <w:t>En la teoría general de las medidas cautelares se identifican tres presupuestos que deben concurrir para su otorgamiento: el peligro en la demora o periculum in mora, la apariencia del buen derecho o fumus boni iuris y la compatibilidad de la medida con el interés público.</w:t>
      </w:r>
      <w:r>
        <w:rPr>
          <w:rFonts w:ascii="Arial" w:hAnsi="Arial"/>
          <w:vertAlign w:val="superscript"/>
        </w:rPr>
        <w:t>3</w:t>
      </w:r>
      <w:r>
        <w:rPr>
          <w:rFonts w:ascii="Arial" w:hAnsi="Arial"/>
          <w:b w:val="0"/>
          <w:i w:val="0"/>
          <w:sz w:val="28"/>
        </w:rPr>
        <w:t xml:space="preserve"> La ausencia de cualquiera de ellos torna improcedente la cautela, porque una medida que carece de urgencia real, de verosimilitud del derecho o que lesiona el interés de la colectividad deja de ser un instrumento de protección y se convierte en un obstáculo para la función jurisdiccional.</w:t>
      </w:r>
    </w:p>
    <w:p>
      <w:pPr>
        <w:spacing w:line="360" w:lineRule="auto"/>
        <w:jc w:val="both"/>
      </w:pPr>
      <w:r>
        <w:rPr>
          <w:rFonts w:ascii="Arial" w:hAnsi="Arial"/>
          <w:b w:val="0"/>
          <w:i w:val="0"/>
          <w:sz w:val="28"/>
        </w:rPr>
        <w:t xml:space="preserve">Sobre esos presupuestos generales, el legislador impuso un límite categórico para los actos dictados dentro de procedimientos: el artículo 150 de la Ley de Amparo ordena que, en los casos en que la suspensión sea procedente, </w:t>
      </w:r>
      <w:r>
        <w:rPr>
          <w:rFonts w:ascii="Arial" w:hAnsi="Arial"/>
          <w:b w:val="0"/>
          <w:i/>
          <w:sz w:val="28"/>
        </w:rPr>
        <w:t>«se concederá en forma tal que no impida la continuación del procedimiento en el asunto que haya motivado el acto reclamado, hasta dictarse resolución firme en él»</w:t>
      </w:r>
      <w:r>
        <w:rPr>
          <w:rFonts w:ascii="Arial" w:hAnsi="Arial"/>
          <w:b w:val="0"/>
          <w:i w:val="0"/>
          <w:sz w:val="28"/>
        </w:rPr>
        <w:t>. La única excepción admitida es que la continuación del procedimiento deje irreparablemente consumado el daño o perjuicio que pueda ocasionarse a la persona quejosa.</w:t>
      </w:r>
    </w:p>
    <w:p>
      <w:pPr>
        <w:spacing w:line="360" w:lineRule="auto"/>
        <w:jc w:val="both"/>
      </w:pPr>
      <w:r>
        <w:rPr>
          <w:rFonts w:ascii="Arial" w:hAnsi="Arial"/>
          <w:b w:val="0"/>
          <w:i w:val="0"/>
          <w:sz w:val="28"/>
        </w:rPr>
        <w:t>El alcance de esa excepción es, por tanto, estricto: no basta invocarla para que la medida paralice el procedimiento de origen, sino que exige un daño acreditado y no meramente conjetural, pues sólo la consumación irreparable justifica apartarse de la regla.</w:t>
      </w:r>
    </w:p>
    <w:p>
      <w:pPr>
        <w:spacing w:line="360" w:lineRule="auto"/>
        <w:jc w:val="both"/>
      </w:pPr>
      <w:r>
        <w:rPr>
          <w:rFonts w:ascii="Arial" w:hAnsi="Arial"/>
          <w:b w:val="0"/>
          <w:i w:val="0"/>
          <w:sz w:val="28"/>
        </w:rPr>
        <w:t>La audiencia inicial confirma esa lectura. En el proceso penal acusatorio, esa audiencia es la actuación destacada de la etapa de investigación —que precede a la intermedia y a la de juicio— en la que se informa a la persona imputada de sus derechos constitucionales, se realiza el control de legalidad de la detención, en su caso se formula la imputación y se le da la oportunidad de declarar.</w:t>
      </w:r>
      <w:r>
        <w:rPr>
          <w:rFonts w:ascii="Arial" w:hAnsi="Arial"/>
          <w:vertAlign w:val="superscript"/>
        </w:rPr>
        <w:t>4</w:t>
      </w:r>
      <w:r>
        <w:rPr>
          <w:rFonts w:ascii="Arial" w:hAnsi="Arial"/>
          <w:b w:val="0"/>
          <w:i w:val="0"/>
          <w:sz w:val="28"/>
        </w:rPr>
        <w:t xml:space="preserve"> Su desarrollo progresivo no es una ejecución extraordinaria, sino el cauce que la propia ley diseñó para definir, paso a paso, la situación jurídica de la persona imputada.</w:t>
      </w:r>
    </w:p>
    <w:p>
      <w:pPr>
        <w:spacing w:line="360" w:lineRule="auto"/>
        <w:jc w:val="both"/>
      </w:pPr>
      <w:r>
        <w:rPr>
          <w:rFonts w:ascii="Arial" w:hAnsi="Arial"/>
          <w:b w:val="0"/>
          <w:i w:val="0"/>
          <w:sz w:val="28"/>
        </w:rPr>
        <w:t>Este marco normativo y doctrinal fue elevado a jurisprudencia obligatoria por el Pleno Regional en Materias Penal y de Trabajo de la Región Centro-Norte, con residencia en la Ciudad de México, al resolver la contradicción de criterios 40/2026 el veinticinco de junio de dos mil veintiséis, de la que derivó la jurisprudencia cuyo rubro es el siguiente:</w:t>
      </w:r>
    </w:p>
    <w:p>
      <w:pPr>
        <w:spacing w:line="360" w:lineRule="auto"/>
        <w:jc w:val="both"/>
      </w:pPr>
      <w:r>
        <w:rPr>
          <w:rFonts w:ascii="Arial" w:hAnsi="Arial"/>
          <w:b w:val="0"/>
          <w:i/>
          <w:sz w:val="28"/>
        </w:rPr>
        <w:t>«SUSPENSIÓN PROVISIONAL. ES IMPROCEDENTE CONTRA LA RESOLUCIÓN DEL TRIBUNAL DE ALZADA QUE REVOCA LA CALIFICACIÓN DE ILEGAL DETENCIÓN EMITIDA POR EL JUEZ DE CONTROL Y ORDENA LA CONTINUACIÓN DE LA AUDIENCIA INICIAL.»</w:t>
      </w:r>
      <w:r>
        <w:rPr>
          <w:rFonts w:ascii="Arial" w:hAnsi="Arial"/>
          <w:b w:val="0"/>
          <w:i w:val="0"/>
          <w:sz w:val="28"/>
        </w:rPr>
        <w:t>, clave PR.P.T.CN. J/15 P (12a.), Duodécima Época, publicada en el Semanario Judicial de la Federación el viernes 21 de agosto de 2026, registro digital 2032546, de aplicación obligatoria a partir del lunes 24 de agosto de 2026.</w:t>
      </w:r>
    </w:p>
    <w:p>
      <w:pPr>
        <w:spacing w:line="360" w:lineRule="auto"/>
        <w:jc w:val="both"/>
      </w:pPr>
      <w:r>
        <w:rPr>
          <w:rFonts w:ascii="Arial" w:hAnsi="Arial"/>
          <w:b w:val="0"/>
          <w:i w:val="0"/>
          <w:sz w:val="28"/>
        </w:rPr>
        <w:t>Su criterio jurídico establece textualmente lo siguiente:</w:t>
      </w:r>
    </w:p>
    <w:p>
      <w:pPr>
        <w:spacing w:line="360" w:lineRule="auto"/>
        <w:jc w:val="both"/>
      </w:pPr>
      <w:r>
        <w:rPr>
          <w:rFonts w:ascii="Arial" w:hAnsi="Arial"/>
          <w:b w:val="0"/>
          <w:i/>
          <w:sz w:val="28"/>
        </w:rPr>
        <w:t>«Contra la resolución del Tribunal de Alzada que revoca la calificación de ilegal detención emitida por el Juez de Control y ordena la continuación de la audiencia inicial, debe negarse la suspensión provisional para el efecto de que dicha audiencia no continúe, pues su concesión paralizaría el procedimiento penal, sin que exista una razón objetiva que permita establecer que su continuación dejará irreparablemente consumado el daño o perjuicio que pueda ocasionarse a la persona quejosa.»</w:t>
      </w:r>
    </w:p>
    <w:p>
      <w:pPr>
        <w:spacing w:line="360" w:lineRule="auto"/>
        <w:jc w:val="both"/>
      </w:pPr>
      <w:r>
        <w:rPr>
          <w:rFonts w:ascii="Arial" w:hAnsi="Arial"/>
          <w:b w:val="0"/>
          <w:i w:val="0"/>
          <w:sz w:val="28"/>
        </w:rPr>
        <w:t xml:space="preserve">En su justificación, el propio Pleno Regional razonó que la continuación de la audiencia inicial </w:t>
      </w:r>
      <w:r>
        <w:rPr>
          <w:rFonts w:ascii="Arial" w:hAnsi="Arial"/>
          <w:b w:val="0"/>
          <w:i/>
          <w:sz w:val="28"/>
        </w:rPr>
        <w:t>«no representa una circunstancia extraordinaria ni una ejecución ajena al diseño normativo del procedimiento penal»</w:t>
      </w:r>
      <w:r>
        <w:rPr>
          <w:rFonts w:ascii="Arial" w:hAnsi="Arial"/>
          <w:b w:val="0"/>
          <w:i w:val="0"/>
          <w:sz w:val="28"/>
        </w:rPr>
        <w:t xml:space="preserve">, sino el desarrollo natural de una etapa expresamente prevista, y que los actos subsecuentes —la vinculación a proceso y la imposición de medidas cautelares— resultan </w:t>
      </w:r>
      <w:r>
        <w:rPr>
          <w:rFonts w:ascii="Arial" w:hAnsi="Arial"/>
          <w:b w:val="0"/>
          <w:i/>
          <w:sz w:val="28"/>
        </w:rPr>
        <w:t>«de realización futura e incierta»</w:t>
      </w:r>
      <w:r>
        <w:rPr>
          <w:rFonts w:ascii="Arial" w:hAnsi="Arial"/>
          <w:b w:val="0"/>
          <w:i w:val="0"/>
          <w:sz w:val="28"/>
        </w:rPr>
        <w:t>, pues no se tiene certeza de que surgirán a la vida jurídica.</w:t>
      </w:r>
    </w:p>
    <w:p>
      <w:pPr>
        <w:spacing w:line="360" w:lineRule="auto"/>
        <w:jc w:val="both"/>
      </w:pPr>
      <w:r>
        <w:rPr>
          <w:rFonts w:ascii="Arial" w:hAnsi="Arial"/>
          <w:b/>
          <w:sz w:val="28"/>
        </w:rPr>
        <w:t>IV. Aplicación al caso concreto y refutación de la motivación del auto recurrido.</w:t>
      </w:r>
    </w:p>
    <w:p>
      <w:pPr>
        <w:spacing w:line="360" w:lineRule="auto"/>
        <w:jc w:val="both"/>
      </w:pPr>
      <w:r>
        <w:rPr>
          <w:rFonts w:ascii="Arial" w:hAnsi="Arial"/>
          <w:b w:val="0"/>
          <w:i w:val="0"/>
          <w:sz w:val="28"/>
        </w:rPr>
        <w:t>La premisa menor de este silogismo es incontestable: el auto recurrido concedió la suspensión provisional precisamente para el efecto que la jurisprudencia proscribe, esto es, para que la audiencia inicial no continúe. El acto reclamado en el amparo de origen es, palabra por palabra, el supuesto examinado por el Pleno Regional: la resolución del tribunal de alzada que revoca la calificación de ilegal detención emitida por el juez de control y ordena la continuación de la audiencia inicial. La subsunción, por tanto, es directa y no admite matices.</w:t>
      </w:r>
    </w:p>
    <w:p>
      <w:pPr>
        <w:spacing w:line="360" w:lineRule="auto"/>
        <w:jc w:val="both"/>
      </w:pPr>
      <w:r>
        <w:rPr>
          <w:rFonts w:ascii="Arial" w:hAnsi="Arial"/>
          <w:b w:val="0"/>
          <w:i w:val="0"/>
          <w:sz w:val="28"/>
        </w:rPr>
        <w:t xml:space="preserve">Siendo la jurisprudencia PR.P.T.CN. J/15 P (12a.) de aplicación obligatoria a partir del lunes 24 de agosto de 2026, el juzgado de distrito estaba constreñido a acatarla al proveer sobre la medida en el auto de </w:t>
      </w:r>
      <w:r>
        <w:rPr>
          <w:rFonts w:ascii="Arial" w:hAnsi="Arial"/>
          <w:b/>
          <w:i w:val="0"/>
          <w:sz w:val="28"/>
        </w:rPr>
        <w:t>[FECHA DEL AUTO RECURRIDO]</w:t>
      </w:r>
      <w:r>
        <w:rPr>
          <w:rFonts w:ascii="Arial" w:hAnsi="Arial"/>
          <w:b w:val="0"/>
          <w:i w:val="0"/>
          <w:sz w:val="28"/>
        </w:rPr>
        <w:t>. Su inobservancia basta, por sí sola, para revocar la concesión; pero además el auto recurrido es ilegal por vicios propios de su motivación, como se demuestra enseguida.</w:t>
      </w:r>
    </w:p>
    <w:p>
      <w:pPr>
        <w:spacing w:line="360" w:lineRule="auto"/>
        <w:jc w:val="both"/>
      </w:pPr>
      <w:r>
        <w:rPr>
          <w:rFonts w:ascii="Arial" w:hAnsi="Arial"/>
          <w:b w:val="0"/>
          <w:i w:val="0"/>
          <w:sz w:val="28"/>
        </w:rPr>
        <w:t xml:space="preserve">Para conceder la medida, el juzgado sostuvo, en esencia, que de continuar la audiencia inicial se violarían de modo irreparable los derechos de la persona quejosa, por lo que debía paralizarse el procedimiento para conservar la materia del amparo. Ese razonamiento incurre en la falacia de petición de principio o petitio principii, que la doctrina define como pretender </w:t>
      </w:r>
      <w:r>
        <w:rPr>
          <w:rFonts w:ascii="Arial" w:hAnsi="Arial"/>
          <w:b w:val="0"/>
          <w:i/>
          <w:sz w:val="28"/>
        </w:rPr>
        <w:t>«demostrar por sí mismo lo que no está claro o no es conocido por sí mismo, esto es: no demostrar»</w:t>
      </w:r>
      <w:r>
        <w:rPr>
          <w:rFonts w:ascii="Arial" w:hAnsi="Arial"/>
          <w:b w:val="0"/>
          <w:i w:val="0"/>
          <w:sz w:val="28"/>
        </w:rPr>
        <w:t>.</w:t>
      </w:r>
      <w:r>
        <w:rPr>
          <w:rFonts w:ascii="Arial" w:hAnsi="Arial"/>
          <w:vertAlign w:val="superscript"/>
        </w:rPr>
        <w:t>5</w:t>
      </w:r>
    </w:p>
    <w:p>
      <w:pPr>
        <w:spacing w:line="360" w:lineRule="auto"/>
        <w:jc w:val="both"/>
      </w:pPr>
      <w:r>
        <w:rPr>
          <w:rFonts w:ascii="Arial" w:hAnsi="Arial"/>
          <w:b w:val="0"/>
          <w:i w:val="0"/>
          <w:sz w:val="28"/>
        </w:rPr>
        <w:t>La estructura lógica del error es la siguiente: la excepción del artículo 150 de la Ley de Amparo exige una razón objetiva que acredite que la continuación del procedimiento dejará irreparablemente consumado el daño; el auto recurrido, en lugar de aportar esa razón, la presupone, pues afirma que la continuación es irreparablemente dañosa porque paralizar el procedimiento evita un daño irreparable. La premisa y la conclusión son la misma proposición con distinto ropaje, de modo que la motivación gira en círculo y nada demuestra.</w:t>
      </w:r>
    </w:p>
    <w:p>
      <w:pPr>
        <w:spacing w:line="360" w:lineRule="auto"/>
        <w:jc w:val="both"/>
      </w:pPr>
      <w:r>
        <w:rPr>
          <w:rFonts w:ascii="Arial" w:hAnsi="Arial"/>
          <w:b w:val="0"/>
          <w:i w:val="0"/>
          <w:sz w:val="28"/>
        </w:rPr>
        <w:t>El razonamiento correcto es el inverso. Los únicos actos que podrían deparar una afectación relevante a la persona quejosa —el auto de vinculación a proceso y la eventual imposición de medidas cautelares— todavía no existen: son de realización futura e incierta, pues dependen del debate que se dé en la propia audiencia y de las decisiones que en ella se adopten. Un daño futuro e incierto es, por definición, lo contrario de un daño irreparablemente consumado; y si tales actos llegan a dictarse, la persona imputada contará en su momento con los medios ordinarios y extraordinarios de defensa que la ley prevé contra ellos.</w:t>
      </w:r>
    </w:p>
    <w:p>
      <w:pPr>
        <w:spacing w:line="360" w:lineRule="auto"/>
        <w:jc w:val="both"/>
      </w:pPr>
      <w:r>
        <w:rPr>
          <w:rFonts w:ascii="Arial" w:hAnsi="Arial"/>
          <w:b w:val="0"/>
          <w:i w:val="0"/>
          <w:sz w:val="28"/>
        </w:rPr>
        <w:t>Tampoco se destruye la materia del amparo con la continuación de la audiencia. La litis constitucional versa sobre la legalidad de la revocación de la calificación de la detención, cuestión que el juez de amparo puede examinar y, en su caso, reparar con plenitud aunque el procedimiento avance, pues la concesión de la protección federal alcanzaría a los actos que deriven directamente del reclamado. La suspensión no era necesaria para conservar esa materia; sólo servía para detener el proceso penal.</w:t>
      </w:r>
    </w:p>
    <w:p>
      <w:pPr>
        <w:spacing w:line="360" w:lineRule="auto"/>
        <w:jc w:val="both"/>
      </w:pPr>
      <w:r>
        <w:rPr>
          <w:rFonts w:ascii="Arial" w:hAnsi="Arial"/>
          <w:b w:val="0"/>
          <w:i w:val="0"/>
          <w:sz w:val="28"/>
        </w:rPr>
        <w:t>A lo anterior se suma la afectación al interés social. La sociedad tiene un interés preponderante en que los procedimientos penales se desarrollen sin interrupciones injustificadas, porque de su continuidad dependen tanto la persecución eficaz de los delitos como los derechos de las víctimas a la verdad y a la reparación. En la ponderación que exige la técnica de la suspensión, ese interés público prevalece frente a una apariencia de buen derecho que, en el caso, ni siquiera se apoya en un perjuicio actual, cierto o irreparable.</w:t>
      </w:r>
    </w:p>
    <w:p>
      <w:pPr>
        <w:spacing w:line="360" w:lineRule="auto"/>
        <w:jc w:val="both"/>
      </w:pPr>
      <w:r>
        <w:rPr>
          <w:rFonts w:ascii="Arial" w:hAnsi="Arial"/>
          <w:b w:val="0"/>
          <w:i w:val="0"/>
          <w:sz w:val="28"/>
        </w:rPr>
        <w:t>En síntesis, el auto recurrido aplicó la excepción del artículo 150 de la Ley de Amparo a un caso gobernado por la regla general, sin razón objetiva alguna; motivó la concesión con un argumento circular que da por probado lo que debía demostrar; ignoró que la audiencia inicial es una etapa ordinaria del diseño acusatorio; y desatendió una jurisprudencia obligatoria exactamente aplicable. Cada uno de esos defectos, por separado, conduce a la revocación; juntos, la hacen inexcusable.</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Por lo expuesto, este agravio es fundado: el auto de </w:t>
      </w:r>
      <w:r>
        <w:rPr>
          <w:rFonts w:ascii="Arial" w:hAnsi="Arial"/>
          <w:b/>
          <w:i w:val="0"/>
          <w:sz w:val="28"/>
        </w:rPr>
        <w:t>[FECHA DEL AUTO RECURRIDO]</w:t>
      </w:r>
      <w:r>
        <w:rPr>
          <w:rFonts w:ascii="Arial" w:hAnsi="Arial"/>
          <w:b w:val="0"/>
          <w:i w:val="0"/>
          <w:sz w:val="28"/>
        </w:rPr>
        <w:t xml:space="preserve"> concedió una suspensión provisional legalmente prohibida, con una motivación circular y contra jurisprudencia obligatoria, en perjuicio de la parte recurrente y del interés social en la continuidad del proceso penal seguido en la causa </w:t>
      </w:r>
      <w:r>
        <w:rPr>
          <w:rFonts w:ascii="Arial" w:hAnsi="Arial"/>
          <w:b/>
          <w:i w:val="0"/>
          <w:sz w:val="28"/>
        </w:rPr>
        <w:t>[NÚMERO DE LA CAUSA PENAL O CARPETA JUDICIAL]</w:t>
      </w:r>
      <w:r>
        <w:rPr>
          <w:rFonts w:ascii="Arial" w:hAnsi="Arial"/>
          <w:b w:val="0"/>
          <w:i w:val="0"/>
          <w:sz w:val="28"/>
        </w:rPr>
        <w:t>.</w:t>
      </w:r>
    </w:p>
    <w:p>
      <w:pPr>
        <w:spacing w:line="360" w:lineRule="auto"/>
        <w:jc w:val="both"/>
      </w:pPr>
      <w:r>
        <w:rPr>
          <w:rFonts w:ascii="Arial" w:hAnsi="Arial"/>
          <w:b w:val="0"/>
          <w:i w:val="0"/>
          <w:sz w:val="28"/>
        </w:rPr>
        <w:t xml:space="preserve">En consecuencia, atentamente solicito a ese Tribunal Colegiado declarar fundado el presente recurso de queja, revocar el auto recurrido en la parte materia de esta impugnación y, en su lugar, negar a </w:t>
      </w:r>
      <w:r>
        <w:rPr>
          <w:rFonts w:ascii="Arial" w:hAnsi="Arial"/>
          <w:b/>
          <w:i w:val="0"/>
          <w:sz w:val="28"/>
        </w:rPr>
        <w:t>[NOMBRE DE LA PERSONA IMPUTADA QUEJOSA]</w:t>
      </w:r>
      <w:r>
        <w:rPr>
          <w:rFonts w:ascii="Arial" w:hAnsi="Arial"/>
          <w:b w:val="0"/>
          <w:i w:val="0"/>
          <w:sz w:val="28"/>
        </w:rPr>
        <w:t xml:space="preserve"> la suspensión provisional solicitada, a fin de que la audiencia inicial continúe por su cauce legal; lo anterior sin prejuzgar sobre la suspensión definitiva ni sobre el fondo del juicio de amparo, cuya resolución corresponderá a quien deba conocer de ellos.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1792.</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FERRER MAC-GREGOR, op. cit.</w:t>
      </w:r>
      <w:r>
        <w:rPr>
          <w:rFonts w:ascii="Arial" w:hAnsi="Arial"/>
          <w:i w:val="0"/>
          <w:sz w:val="20"/>
        </w:rPr>
        <w:t>, p. 1971.</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244.</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902.</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