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AGRAVIO EN REVISIÓN. OMISIÓN DE PROVEER SOBRE LA AMPLIACIÓN DE LA DEMANDA DE AMPARO</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Antes de rellenar nada, verifica en el expediente las tres premisas del agravio: que exista el acuerdo de reserva, que todos los informes justificados se hayan rendido y que la sentencia se haya dictado sin proveer sobre la ampliación. Anota fojas y fechas de cada constancia. Después rellena los campos entre corchetes, integra este apartado al escrito de agravios del recurso de revisión junto con tu proemio y presenta el recurso dentro del plazo legal, ante el propio órgano que dictó la sentencia.</w:t>
      </w:r>
    </w:p>
    <w:p>
      <w:pPr>
        <w:spacing w:line="360" w:lineRule="auto"/>
        <w:jc w:val="both"/>
      </w:pPr>
      <w:r>
        <w:rPr>
          <w:rFonts w:ascii="Arial" w:hAnsi="Arial"/>
          <w:b/>
          <w:i w:val="0"/>
          <w:sz w:val="24"/>
        </w:rPr>
        <w:t>[NÚMERO ORDINAL DEL AGRAVIO]</w:t>
      </w:r>
      <w:r>
        <w:rPr>
          <w:rFonts w:ascii="Arial" w:hAnsi="Arial"/>
          <w:b w:val="0"/>
          <w:i w:val="0"/>
          <w:sz w:val="24"/>
        </w:rPr>
        <w:t>: lugar que ocupa este agravio en tu escrito (PRIMERO, SEGUNDO…).</w:t>
      </w:r>
    </w:p>
    <w:p>
      <w:pPr>
        <w:spacing w:line="360" w:lineRule="auto"/>
        <w:jc w:val="both"/>
      </w:pPr>
      <w:r>
        <w:rPr>
          <w:rFonts w:ascii="Arial" w:hAnsi="Arial"/>
          <w:b/>
          <w:i w:val="0"/>
          <w:sz w:val="24"/>
        </w:rPr>
        <w:t>[JUZGADO DE DISTRITO]</w:t>
      </w:r>
      <w:r>
        <w:rPr>
          <w:rFonts w:ascii="Arial" w:hAnsi="Arial"/>
          <w:b w:val="0"/>
          <w:i w:val="0"/>
          <w:sz w:val="24"/>
        </w:rPr>
        <w:t>: denominación completa del juzgado que tramitó el amparo indirecto.</w:t>
      </w:r>
    </w:p>
    <w:p>
      <w:pPr>
        <w:spacing w:line="360" w:lineRule="auto"/>
        <w:jc w:val="both"/>
      </w:pPr>
      <w:r>
        <w:rPr>
          <w:rFonts w:ascii="Arial" w:hAnsi="Arial"/>
          <w:b/>
          <w:i w:val="0"/>
          <w:sz w:val="24"/>
        </w:rPr>
        <w:t>[NÚMERO DEL JUICIO DE AMPARO]</w:t>
      </w:r>
      <w:r>
        <w:rPr>
          <w:rFonts w:ascii="Arial" w:hAnsi="Arial"/>
          <w:b w:val="0"/>
          <w:i w:val="0"/>
          <w:sz w:val="24"/>
        </w:rPr>
        <w:t>: expediente del juicio de amparo indirecto.</w:t>
      </w:r>
    </w:p>
    <w:p>
      <w:pPr>
        <w:spacing w:line="360" w:lineRule="auto"/>
        <w:jc w:val="both"/>
      </w:pPr>
      <w:r>
        <w:rPr>
          <w:rFonts w:ascii="Arial" w:hAnsi="Arial"/>
          <w:b/>
          <w:i w:val="0"/>
          <w:sz w:val="24"/>
        </w:rPr>
        <w:t>[NOMBRE DE LA PERSONA QUEJOSA]</w:t>
      </w:r>
      <w:r>
        <w:rPr>
          <w:rFonts w:ascii="Arial" w:hAnsi="Arial"/>
          <w:b w:val="0"/>
          <w:i w:val="0"/>
          <w:sz w:val="24"/>
        </w:rPr>
        <w:t>: nombre completo de quien promovió el amparo.</w:t>
      </w:r>
    </w:p>
    <w:p>
      <w:pPr>
        <w:spacing w:line="360" w:lineRule="auto"/>
        <w:jc w:val="both"/>
      </w:pPr>
      <w:r>
        <w:rPr>
          <w:rFonts w:ascii="Arial" w:hAnsi="Arial"/>
          <w:b/>
          <w:i w:val="0"/>
          <w:sz w:val="24"/>
        </w:rPr>
        <w:t>[FECHA DE PRESENTACIÓN DE LA AMPLIACIÓN]</w:t>
      </w:r>
      <w:r>
        <w:rPr>
          <w:rFonts w:ascii="Arial" w:hAnsi="Arial"/>
          <w:b w:val="0"/>
          <w:i w:val="0"/>
          <w:sz w:val="24"/>
        </w:rPr>
        <w:t>: día en que se presentó el escrito de ampliación de demanda.</w:t>
      </w:r>
    </w:p>
    <w:p>
      <w:pPr>
        <w:spacing w:line="360" w:lineRule="auto"/>
        <w:jc w:val="both"/>
      </w:pPr>
      <w:r>
        <w:rPr>
          <w:rFonts w:ascii="Arial" w:hAnsi="Arial"/>
          <w:b/>
          <w:i w:val="0"/>
          <w:sz w:val="24"/>
        </w:rPr>
        <w:t>[ACTO RECLAMADO EN LA AMPLIACIÓN]</w:t>
      </w:r>
      <w:r>
        <w:rPr>
          <w:rFonts w:ascii="Arial" w:hAnsi="Arial"/>
          <w:b w:val="0"/>
          <w:i w:val="0"/>
          <w:sz w:val="24"/>
        </w:rPr>
        <w:t>: acto o actos nuevos que se reclamaron en la ampliación.</w:t>
      </w:r>
    </w:p>
    <w:p>
      <w:pPr>
        <w:spacing w:line="360" w:lineRule="auto"/>
        <w:jc w:val="both"/>
      </w:pPr>
      <w:r>
        <w:rPr>
          <w:rFonts w:ascii="Arial" w:hAnsi="Arial"/>
          <w:b/>
          <w:i w:val="0"/>
          <w:sz w:val="24"/>
        </w:rPr>
        <w:t>[AUTORIDAD RESPONSABLE SEÑALADA EN LA AMPLIACIÓN]</w:t>
      </w:r>
      <w:r>
        <w:rPr>
          <w:rFonts w:ascii="Arial" w:hAnsi="Arial"/>
          <w:b w:val="0"/>
          <w:i w:val="0"/>
          <w:sz w:val="24"/>
        </w:rPr>
        <w:t>: autoridad o autoridades que se agregaron en la ampliación.</w:t>
      </w:r>
    </w:p>
    <w:p>
      <w:pPr>
        <w:spacing w:line="360" w:lineRule="auto"/>
        <w:jc w:val="both"/>
      </w:pPr>
      <w:r>
        <w:rPr>
          <w:rFonts w:ascii="Arial" w:hAnsi="Arial"/>
          <w:b/>
          <w:i w:val="0"/>
          <w:sz w:val="24"/>
        </w:rPr>
        <w:t>[FECHA DEL ACUERDO DE RESERVA]</w:t>
      </w:r>
      <w:r>
        <w:rPr>
          <w:rFonts w:ascii="Arial" w:hAnsi="Arial"/>
          <w:b w:val="0"/>
          <w:i w:val="0"/>
          <w:sz w:val="24"/>
        </w:rPr>
        <w:t>: fecha del proveído que reservó acordar la ampliación hasta los informes.</w:t>
      </w:r>
    </w:p>
    <w:p>
      <w:pPr>
        <w:spacing w:line="360" w:lineRule="auto"/>
        <w:jc w:val="both"/>
      </w:pPr>
      <w:r>
        <w:rPr>
          <w:rFonts w:ascii="Arial" w:hAnsi="Arial"/>
          <w:b/>
          <w:i w:val="0"/>
          <w:sz w:val="24"/>
        </w:rPr>
        <w:t>[FECHA DEL ÚLTIMO INFORME JUSTIFICADO]</w:t>
      </w:r>
      <w:r>
        <w:rPr>
          <w:rFonts w:ascii="Arial" w:hAnsi="Arial"/>
          <w:b w:val="0"/>
          <w:i w:val="0"/>
          <w:sz w:val="24"/>
        </w:rPr>
        <w:t>: día en que quedó rendido el último informe justificado.</w:t>
      </w:r>
    </w:p>
    <w:p>
      <w:pPr>
        <w:spacing w:line="360" w:lineRule="auto"/>
        <w:jc w:val="both"/>
      </w:pPr>
      <w:r>
        <w:rPr>
          <w:rFonts w:ascii="Arial" w:hAnsi="Arial"/>
          <w:b/>
          <w:i w:val="0"/>
          <w:sz w:val="24"/>
        </w:rPr>
        <w:t>[FECHA DE LA SENTENCIA RECURRIDA]</w:t>
      </w:r>
      <w:r>
        <w:rPr>
          <w:rFonts w:ascii="Arial" w:hAnsi="Arial"/>
          <w:b w:val="0"/>
          <w:i w:val="0"/>
          <w:sz w:val="24"/>
        </w:rPr>
        <w:t>: fecha de la sentencia de amparo que combates en revisión.</w:t>
      </w:r>
    </w:p>
    <w:p>
      <w:pPr>
        <w:spacing w:line="360" w:lineRule="auto"/>
        <w:jc w:val="both"/>
      </w:pPr>
      <w:r>
        <w:rPr>
          <w:rFonts w:ascii="Arial" w:hAnsi="Arial"/>
          <w:b/>
          <w:i w:val="0"/>
          <w:sz w:val="24"/>
        </w:rPr>
        <w:t>[CONSIDERANDO Y FOJA DE LA SENTENCIA RECURRIDA]</w:t>
      </w:r>
      <w:r>
        <w:rPr>
          <w:rFonts w:ascii="Arial" w:hAnsi="Arial"/>
          <w:b w:val="0"/>
          <w:i w:val="0"/>
          <w:sz w:val="24"/>
        </w:rPr>
        <w:t>: parte de la sentencia donde consta que no hubo pronunciamiento sobre la ampliación.</w:t>
      </w:r>
    </w:p>
    <w:p>
      <w:pPr>
        <w:spacing w:line="360" w:lineRule="auto"/>
        <w:jc w:val="both"/>
      </w:pPr>
      <w:r>
        <w:rPr>
          <w:rFonts w:ascii="Arial" w:hAnsi="Arial"/>
          <w:b/>
          <w:i w:val="0"/>
          <w:sz w:val="24"/>
        </w:rPr>
        <w:t>[TRIBUNAL COLEGIADO DE CIRCUITO]</w:t>
      </w:r>
      <w:r>
        <w:rPr>
          <w:rFonts w:ascii="Arial" w:hAnsi="Arial"/>
          <w:b w:val="0"/>
          <w:i w:val="0"/>
          <w:sz w:val="24"/>
        </w:rPr>
        <w:t>: órgano al que diriges el recurso de revisión.</w:t>
      </w:r>
    </w:p>
    <w:p/>
    <w:p>
      <w:pPr>
        <w:spacing w:line="360" w:lineRule="auto"/>
        <w:jc w:val="both"/>
      </w:pPr>
      <w:r>
        <w:rPr>
          <w:rFonts w:ascii="Arial" w:hAnsi="Arial"/>
          <w:b/>
          <w:sz w:val="28"/>
        </w:rPr>
        <w:t>[NÚMERO ORDINAL DEL AGRAVIO]. Violación a las reglas fundamentales que norman el procedimiento del juicio de amparo: el [JUZGADO DE DISTRITO] omitió proveer sobre la ampliación de la demanda una vez rendidos los informes justificados y dictó sentencia sin pronunciarse sobre ella, por lo que procede revocar el fallo recurrido y ordenar la reposición del procedimiento.</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 xml:space="preserve">En este agravio se demostrará que la sentencia recurrida debe revocarse porque el </w:t>
      </w:r>
      <w:r>
        <w:rPr>
          <w:rFonts w:ascii="Arial" w:hAnsi="Arial"/>
          <w:b/>
          <w:i w:val="0"/>
          <w:sz w:val="28"/>
        </w:rPr>
        <w:t>[JUZGADO DE DISTRITO]</w:t>
      </w:r>
      <w:r>
        <w:rPr>
          <w:rFonts w:ascii="Arial" w:hAnsi="Arial"/>
          <w:b w:val="0"/>
          <w:i w:val="0"/>
          <w:sz w:val="28"/>
        </w:rPr>
        <w:t>, después de reservar el pronunciamiento sobre la ampliación de la demanda hasta que las autoridades responsables rindieran sus informes justificados, jamás acordó lo conducente pese a que dichos informes fueron rendidos, y dictó sentencia sin ocuparse de los actos ni de las autoridades planteados en esa ampliación; se trata de una violación a las reglas fundamentales del procedimiento que trascendió al resultado del fallo y que sólo puede repararse mediante la reposición del procedimiento.</w:t>
      </w:r>
    </w:p>
    <w:p>
      <w:pPr>
        <w:spacing w:line="360" w:lineRule="auto"/>
        <w:jc w:val="both"/>
      </w:pPr>
      <w:r>
        <w:rPr>
          <w:rFonts w:ascii="Arial" w:hAnsi="Arial"/>
          <w:b w:val="0"/>
          <w:i w:val="0"/>
          <w:sz w:val="28"/>
        </w:rPr>
        <w:t>Esta vía es, además, la única disponible: conforme a la jurisprudencia obligatoria del Pleno Regional en Materias Administrativa y Civil de la Región Centro-Norte que más adelante se invoca, el recurso de queja es improcedente contra el acuerdo de reserva, y la omisión de proveer una vez rendidos los informes debe reclamarse precisamente en el recurso de revisión, como causa de reposición del procedimiento.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En el juicio de amparo indirecto </w:t>
      </w:r>
      <w:r>
        <w:rPr>
          <w:rFonts w:ascii="Arial" w:hAnsi="Arial"/>
          <w:b/>
          <w:i w:val="0"/>
          <w:sz w:val="28"/>
        </w:rPr>
        <w:t>[NÚMERO DEL JUICIO DE AMPARO]</w:t>
      </w:r>
      <w:r>
        <w:rPr>
          <w:rFonts w:ascii="Arial" w:hAnsi="Arial"/>
          <w:b w:val="0"/>
          <w:i w:val="0"/>
          <w:sz w:val="28"/>
        </w:rPr>
        <w:t xml:space="preserve">, del índice del </w:t>
      </w:r>
      <w:r>
        <w:rPr>
          <w:rFonts w:ascii="Arial" w:hAnsi="Arial"/>
          <w:b/>
          <w:i w:val="0"/>
          <w:sz w:val="28"/>
        </w:rPr>
        <w:t>[JUZGADO DE DISTRITO]</w:t>
      </w:r>
      <w:r>
        <w:rPr>
          <w:rFonts w:ascii="Arial" w:hAnsi="Arial"/>
          <w:b w:val="0"/>
          <w:i w:val="0"/>
          <w:sz w:val="28"/>
        </w:rPr>
        <w:t xml:space="preserve">, la persona quejosa </w:t>
      </w:r>
      <w:r>
        <w:rPr>
          <w:rFonts w:ascii="Arial" w:hAnsi="Arial"/>
          <w:b/>
          <w:i w:val="0"/>
          <w:sz w:val="28"/>
        </w:rPr>
        <w:t>[NOMBRE DE LA PERSONA QUEJOSA]</w:t>
      </w:r>
      <w:r>
        <w:rPr>
          <w:rFonts w:ascii="Arial" w:hAnsi="Arial"/>
          <w:b w:val="0"/>
          <w:i w:val="0"/>
          <w:sz w:val="28"/>
        </w:rPr>
        <w:t xml:space="preserve"> presentó el </w:t>
      </w:r>
      <w:r>
        <w:rPr>
          <w:rFonts w:ascii="Arial" w:hAnsi="Arial"/>
          <w:b/>
          <w:i w:val="0"/>
          <w:sz w:val="28"/>
        </w:rPr>
        <w:t>[FECHA DE PRESENTACIÓN DE LA AMPLIACIÓN]</w:t>
      </w:r>
      <w:r>
        <w:rPr>
          <w:rFonts w:ascii="Arial" w:hAnsi="Arial"/>
          <w:b w:val="0"/>
          <w:i w:val="0"/>
          <w:sz w:val="28"/>
        </w:rPr>
        <w:t xml:space="preserve"> un escrito de ampliación de demanda, mediante el cual reclamó </w:t>
      </w:r>
      <w:r>
        <w:rPr>
          <w:rFonts w:ascii="Arial" w:hAnsi="Arial"/>
          <w:b/>
          <w:i w:val="0"/>
          <w:sz w:val="28"/>
        </w:rPr>
        <w:t>[ACTO RECLAMADO EN LA AMPLIACIÓN]</w:t>
      </w:r>
      <w:r>
        <w:rPr>
          <w:rFonts w:ascii="Arial" w:hAnsi="Arial"/>
          <w:b w:val="0"/>
          <w:i w:val="0"/>
          <w:sz w:val="28"/>
        </w:rPr>
        <w:t xml:space="preserve"> y señaló como responsable a </w:t>
      </w:r>
      <w:r>
        <w:rPr>
          <w:rFonts w:ascii="Arial" w:hAnsi="Arial"/>
          <w:b/>
          <w:i w:val="0"/>
          <w:sz w:val="28"/>
        </w:rPr>
        <w:t>[AUTORIDAD RESPONSABLE SEÑALADA EN LA AMPLIACIÓN]</w:t>
      </w:r>
      <w:r>
        <w:rPr>
          <w:rFonts w:ascii="Arial" w:hAnsi="Arial"/>
          <w:b w:val="0"/>
          <w:i w:val="0"/>
          <w:sz w:val="28"/>
        </w:rPr>
        <w:t>, actos de los que tuvo conocimiento con motivo de la rendición del informe justificado.</w:t>
      </w:r>
    </w:p>
    <w:p>
      <w:pPr>
        <w:spacing w:line="360" w:lineRule="auto"/>
        <w:jc w:val="both"/>
      </w:pPr>
      <w:r>
        <w:rPr>
          <w:rFonts w:ascii="Arial" w:hAnsi="Arial"/>
          <w:b w:val="0"/>
          <w:i w:val="0"/>
          <w:sz w:val="28"/>
        </w:rPr>
        <w:t xml:space="preserve">Por acuerdo de </w:t>
      </w:r>
      <w:r>
        <w:rPr>
          <w:rFonts w:ascii="Arial" w:hAnsi="Arial"/>
          <w:b/>
          <w:i w:val="0"/>
          <w:sz w:val="28"/>
        </w:rPr>
        <w:t>[FECHA DEL ACUERDO DE RESERVA]</w:t>
      </w:r>
      <w:r>
        <w:rPr>
          <w:rFonts w:ascii="Arial" w:hAnsi="Arial"/>
          <w:b w:val="0"/>
          <w:i w:val="0"/>
          <w:sz w:val="28"/>
        </w:rPr>
        <w:t xml:space="preserve">, el órgano de amparo reservó proveer sobre esa ampliación hasta que las autoridades responsables rindieran sus informes justificados. El último de esos informes se rindió el </w:t>
      </w:r>
      <w:r>
        <w:rPr>
          <w:rFonts w:ascii="Arial" w:hAnsi="Arial"/>
          <w:b/>
          <w:i w:val="0"/>
          <w:sz w:val="28"/>
        </w:rPr>
        <w:t>[FECHA DEL ÚLTIMO INFORME JUSTIFICADO]</w:t>
      </w:r>
      <w:r>
        <w:rPr>
          <w:rFonts w:ascii="Arial" w:hAnsi="Arial"/>
          <w:b w:val="0"/>
          <w:i w:val="0"/>
          <w:sz w:val="28"/>
        </w:rPr>
        <w:t xml:space="preserve">; sin embargo, el juzgado nunca dictó el acuerdo ofrecido y, en su lugar, el </w:t>
      </w:r>
      <w:r>
        <w:rPr>
          <w:rFonts w:ascii="Arial" w:hAnsi="Arial"/>
          <w:b/>
          <w:i w:val="0"/>
          <w:sz w:val="28"/>
        </w:rPr>
        <w:t>[FECHA DE LA SENTENCIA RECURRIDA]</w:t>
      </w:r>
      <w:r>
        <w:rPr>
          <w:rFonts w:ascii="Arial" w:hAnsi="Arial"/>
          <w:b w:val="0"/>
          <w:i w:val="0"/>
          <w:sz w:val="28"/>
        </w:rPr>
        <w:t xml:space="preserve"> pronunció la sentencia que ahora se recurre, en la cual, como se aprecia en </w:t>
      </w:r>
      <w:r>
        <w:rPr>
          <w:rFonts w:ascii="Arial" w:hAnsi="Arial"/>
          <w:b/>
          <w:i w:val="0"/>
          <w:sz w:val="28"/>
        </w:rPr>
        <w:t>[CONSIDERANDO Y FOJA DE LA SENTENCIA RECURRIDA]</w:t>
      </w:r>
      <w:r>
        <w:rPr>
          <w:rFonts w:ascii="Arial" w:hAnsi="Arial"/>
          <w:b w:val="0"/>
          <w:i w:val="0"/>
          <w:sz w:val="28"/>
        </w:rPr>
        <w:t>, no existe pronunciamiento alguno sobre la ampliación.</w:t>
      </w:r>
    </w:p>
    <w:p>
      <w:pPr>
        <w:spacing w:line="360" w:lineRule="auto"/>
        <w:jc w:val="both"/>
      </w:pPr>
      <w:r>
        <w:rPr>
          <w:rFonts w:ascii="Arial" w:hAnsi="Arial"/>
          <w:b w:val="0"/>
          <w:i w:val="0"/>
          <w:sz w:val="28"/>
        </w:rPr>
        <w:t>Con ese proceder se violaron, en perjuicio de la parte recurrente, los artículos 14, 16 y 17 de la Constitución Política de los Estados Unidos Mexicanos, así como los artículos 93, fracción IV, 111, 115 y 117 de la Ley de Amparo, pues la litis constitucional se resolvió de manera incompleta: los actos reclamados en la ampliación quedaron sin estudio, sin admisión, sin prevención y sin desechamiento; simplemente desaparecieron del juicio.</w:t>
      </w:r>
    </w:p>
    <w:p>
      <w:pPr>
        <w:spacing w:line="360" w:lineRule="auto"/>
        <w:jc w:val="both"/>
      </w:pPr>
      <w:r>
        <w:rPr>
          <w:rFonts w:ascii="Arial" w:hAnsi="Arial"/>
          <w:b/>
          <w:sz w:val="28"/>
        </w:rPr>
        <w:t>III. Desarrollo doctrinal y jurisprudencial de la premisa mayor.</w:t>
      </w:r>
    </w:p>
    <w:p>
      <w:pPr>
        <w:spacing w:line="360" w:lineRule="auto"/>
        <w:jc w:val="both"/>
      </w:pPr>
      <w:r>
        <w:rPr>
          <w:rFonts w:ascii="Arial" w:hAnsi="Arial"/>
          <w:b w:val="0"/>
          <w:i w:val="0"/>
          <w:sz w:val="28"/>
        </w:rPr>
        <w:t>La ampliación de la demanda es una institución procesal cuya regulación responde a los motivos y a la naturaleza de cada procedimiento; la doctrina judicial explica que, por regla general, el derecho procesal acepta tres supuestos básicos que la autorizan, entre ellos el conocimiento de actos nuevos estrechamente vinculados con los inicialmente reclamados.</w:t>
      </w:r>
      <w:r>
        <w:rPr>
          <w:rFonts w:ascii="Arial" w:hAnsi="Arial"/>
          <w:vertAlign w:val="superscript"/>
        </w:rPr>
        <w:t>1</w:t>
      </w:r>
      <w:r>
        <w:rPr>
          <w:rFonts w:ascii="Arial" w:hAnsi="Arial"/>
          <w:b w:val="0"/>
          <w:i w:val="0"/>
          <w:sz w:val="28"/>
        </w:rPr>
        <w:t xml:space="preserve"> En el amparo indirecto ese supuesto es frecuente: la persona quejosa conoce actos o autoridades distintos precisamente al imponerse del contenido del informe justificado.</w:t>
      </w:r>
    </w:p>
    <w:p>
      <w:pPr>
        <w:spacing w:line="360" w:lineRule="auto"/>
        <w:jc w:val="both"/>
      </w:pPr>
      <w:r>
        <w:rPr>
          <w:rFonts w:ascii="Arial" w:hAnsi="Arial"/>
          <w:b w:val="0"/>
          <w:i w:val="0"/>
          <w:sz w:val="28"/>
        </w:rPr>
        <w:t>La Ley de Amparo recoge esa figura en su artículo 111, que permite ampliar la demanda respecto de actos que guarden estrecha relación con los reclamados inicialmente y que no hubieren sido del conocimiento de la parte quejosa antes de su presentación, caso en el cual la ampliación deberá presentarse dentro de los plazos previstos en el artículo 17 del propio ordenamiento.</w:t>
      </w:r>
    </w:p>
    <w:p>
      <w:pPr>
        <w:spacing w:line="360" w:lineRule="auto"/>
        <w:jc w:val="both"/>
      </w:pPr>
      <w:r>
        <w:rPr>
          <w:rFonts w:ascii="Arial" w:hAnsi="Arial"/>
          <w:b w:val="0"/>
          <w:i w:val="0"/>
          <w:sz w:val="28"/>
        </w:rPr>
        <w:t>En materia administrativa el vínculo entre informe y ampliación es todavía más estrecho: el artículo 117 de la Ley de Amparo dispone que, cuando se aduzca falta o insuficiencia de fundamentación y motivación de actos materialmente administrativos, la autoridad deberá complementar esos aspectos en su informe, y que con éste se correrá traslado a la persona quejosa para que realice la ampliación correspondiente dentro del plazo que el propio precepto establece.</w:t>
      </w:r>
    </w:p>
    <w:p>
      <w:pPr>
        <w:spacing w:line="360" w:lineRule="auto"/>
        <w:jc w:val="both"/>
      </w:pPr>
      <w:r>
        <w:rPr>
          <w:rFonts w:ascii="Arial" w:hAnsi="Arial"/>
          <w:b w:val="0"/>
          <w:i w:val="0"/>
          <w:sz w:val="28"/>
        </w:rPr>
        <w:t>El sistema de medios de impugnación confirma esa arquitectura: conforme al artículo 97, fracción I, de la Ley de Amparo, contra el acuerdo que desecha o tiene por no presentada una ampliación de demanda procede el recurso de queja; en cambio, contra la simple reserva de proveer no procede la queja del inciso e), porque constituye una determinación de dirección procesal que no causa un perjuicio irreparable. El control de la reserva no es inmediato, sino diferido, y se ejerce en esta revisión cuando la promesa de pronunciamiento se incumple.</w:t>
      </w:r>
    </w:p>
    <w:p>
      <w:pPr>
        <w:spacing w:line="360" w:lineRule="auto"/>
        <w:jc w:val="both"/>
      </w:pPr>
      <w:r>
        <w:rPr>
          <w:rFonts w:ascii="Arial" w:hAnsi="Arial"/>
          <w:b w:val="0"/>
          <w:i w:val="0"/>
          <w:sz w:val="28"/>
        </w:rPr>
        <w:t>Sobre esa base normativa se proyecta el derecho de tutela jurisdiccional efectiva del artículo 17 constitucional, que consiste en el establecimiento de medios de defensa conformados con reglas claras y sencillas, que permitan al justiciable la interposición de los juicios y recursos a fin de obtener la protección del derecho que estima violado.</w:t>
      </w:r>
      <w:r>
        <w:rPr>
          <w:rFonts w:ascii="Arial" w:hAnsi="Arial"/>
          <w:vertAlign w:val="superscript"/>
        </w:rPr>
        <w:t>2</w:t>
      </w:r>
      <w:r>
        <w:rPr>
          <w:rFonts w:ascii="Arial" w:hAnsi="Arial"/>
          <w:b w:val="0"/>
          <w:i w:val="0"/>
          <w:sz w:val="28"/>
        </w:rPr>
        <w:t xml:space="preserve"> Una petición procesal que nunca recibe acuerdo es la negación misma de ese derecho.</w:t>
      </w:r>
    </w:p>
    <w:p>
      <w:pPr>
        <w:spacing w:line="360" w:lineRule="auto"/>
        <w:jc w:val="both"/>
      </w:pPr>
      <w:r>
        <w:rPr>
          <w:rFonts w:ascii="Arial" w:hAnsi="Arial"/>
          <w:b w:val="0"/>
          <w:i w:val="0"/>
          <w:sz w:val="28"/>
        </w:rPr>
        <w:t>La doctrina procesal constitucional denomina errores in procedendo a las desviaciones cometidas en la tramitación del juicio, y precisa que su reparación está prevista dentro de los sistemas de revisión o de instancias superiores, mediante la declaración de nulidad de lo actuado en contravención a las formas esenciales.</w:t>
      </w:r>
      <w:r>
        <w:rPr>
          <w:rFonts w:ascii="Arial" w:hAnsi="Arial"/>
          <w:vertAlign w:val="superscript"/>
        </w:rPr>
        <w:t>3</w:t>
      </w:r>
    </w:p>
    <w:p>
      <w:pPr>
        <w:spacing w:line="360" w:lineRule="auto"/>
        <w:jc w:val="both"/>
      </w:pPr>
      <w:r>
        <w:rPr>
          <w:rFonts w:ascii="Arial" w:hAnsi="Arial"/>
          <w:b w:val="0"/>
          <w:i w:val="0"/>
          <w:sz w:val="28"/>
        </w:rPr>
        <w:t>Congruente con lo anterior, al resolver el recurso de revisión el tribunal debe realizar un análisis sobre la existencia de alguna acción u omisión que implique una violación a las reglas fundamentales que norman el procedimiento del juicio de amparo y, de existir una que haya trascendido al resultado del fallo, revocar la sentencia recurrida y mandar reponer el procedimiento, según ordena el artículo 93, fracción IV, de la Ley de Amparo.</w:t>
      </w:r>
    </w:p>
    <w:p>
      <w:pPr>
        <w:spacing w:line="360" w:lineRule="auto"/>
        <w:jc w:val="both"/>
      </w:pPr>
      <w:r>
        <w:rPr>
          <w:rFonts w:ascii="Arial" w:hAnsi="Arial"/>
          <w:b w:val="0"/>
          <w:i w:val="0"/>
          <w:sz w:val="28"/>
        </w:rPr>
        <w:t xml:space="preserve">La premisa mayor se cierra con la jurisprudencia por contradicción de criterios de rubro: </w:t>
      </w:r>
      <w:r>
        <w:rPr>
          <w:rFonts w:ascii="Arial" w:hAnsi="Arial"/>
          <w:b w:val="0"/>
          <w:i/>
          <w:sz w:val="28"/>
        </w:rPr>
        <w:t>«RECURSO DE QUEJA PREVISTO EN EL ARTÍCULO 97, FRACCIÓN I, INCISO E), DE LA LEY DE AMPARO. ES IMPROCEDENTE CONTRA EL ACUERDO POR EL QUE EL JUZGADO DE DISTRITO RESERVA PROVEER SOBRE LA AMPLIACIÓN DE LA DEMANDA HASTA QUE LA AUTORIDAD RESPONSABLE RINDA SU INFORME JUSTIFICADO.»</w:t>
      </w:r>
    </w:p>
    <w:p>
      <w:pPr>
        <w:spacing w:line="360" w:lineRule="auto"/>
        <w:jc w:val="both"/>
      </w:pPr>
      <w:r>
        <w:rPr>
          <w:rFonts w:ascii="Arial" w:hAnsi="Arial"/>
          <w:b w:val="0"/>
          <w:i w:val="0"/>
          <w:sz w:val="28"/>
        </w:rPr>
        <w:t>Se trata de la jurisprudencia de clave PR.A.C.CN. J/6 K (12a.), sustentada por el Pleno Regional en Materias Administrativa y Civil de la Región Centro-Norte, con residencia en la Ciudad de México, publicada en el Semanario Judicial de la Federación el viernes 21 de agosto de 2026, registro digital 2032533, derivada de la contradicción de criterios 45/2026. Su criterio esencial es del tenor siguiente:</w:t>
      </w:r>
    </w:p>
    <w:p>
      <w:pPr>
        <w:spacing w:line="360" w:lineRule="auto"/>
        <w:jc w:val="both"/>
      </w:pPr>
      <w:r>
        <w:rPr>
          <w:rFonts w:ascii="Arial" w:hAnsi="Arial"/>
          <w:b w:val="0"/>
          <w:i/>
          <w:sz w:val="28"/>
        </w:rPr>
        <w:t>«Es improcedente el recurso de queja previsto en el artículo 97, fracción I, inciso e), de la Ley de Amparo, contra el acuerdo dictado en amparo indirecto mediante el cual el Juzgado de Distrito reserva proveer respecto de la ampliación de la demanda hasta que las autoridades responsables rindan su informe justificado.»</w:t>
      </w:r>
    </w:p>
    <w:p>
      <w:pPr>
        <w:spacing w:line="360" w:lineRule="auto"/>
        <w:jc w:val="both"/>
      </w:pPr>
      <w:r>
        <w:rPr>
          <w:rFonts w:ascii="Arial" w:hAnsi="Arial"/>
          <w:b w:val="0"/>
          <w:i w:val="0"/>
          <w:sz w:val="28"/>
        </w:rPr>
        <w:t xml:space="preserve">La justificación de ese criterio es decisiva para este agravio, porque el propio Pleno Regional precisó la vía de reparación: </w:t>
      </w:r>
      <w:r>
        <w:rPr>
          <w:rFonts w:ascii="Arial" w:hAnsi="Arial"/>
          <w:b w:val="0"/>
          <w:i/>
          <w:sz w:val="28"/>
        </w:rPr>
        <w:t>«Para el caso de que el Juzgado de Distrito omita acordar lo conducente respecto de la ampliación de la demanda una vez rendidos los informes, esa violación procesal sería reparable en la sentencia, al poder reclamarse en el recurso de revisión como causa de reposición del procedimiento.»</w:t>
      </w:r>
    </w:p>
    <w:p>
      <w:pPr>
        <w:spacing w:line="360" w:lineRule="auto"/>
        <w:jc w:val="both"/>
      </w:pPr>
      <w:r>
        <w:rPr>
          <w:rFonts w:ascii="Arial" w:hAnsi="Arial"/>
          <w:b w:val="0"/>
          <w:i w:val="0"/>
          <w:sz w:val="28"/>
        </w:rPr>
        <w:t xml:space="preserve">De ahí derivan dos consecuencias. La primera: la reserva sólo es tolerable porque </w:t>
      </w:r>
      <w:r>
        <w:rPr>
          <w:rFonts w:ascii="Arial" w:hAnsi="Arial"/>
          <w:b w:val="0"/>
          <w:i/>
          <w:sz w:val="28"/>
        </w:rPr>
        <w:t>«únicamente difiere el momento del análisis sin prejuzgar sobre la admisión, prevención o rechazo de la ampliación»</w:t>
      </w:r>
      <w:r>
        <w:rPr>
          <w:rFonts w:ascii="Arial" w:hAnsi="Arial"/>
          <w:b w:val="0"/>
          <w:i w:val="0"/>
          <w:sz w:val="28"/>
        </w:rPr>
        <w:t xml:space="preserve">, de modo que la persona quejosa </w:t>
      </w:r>
      <w:r>
        <w:rPr>
          <w:rFonts w:ascii="Arial" w:hAnsi="Arial"/>
          <w:b w:val="0"/>
          <w:i/>
          <w:sz w:val="28"/>
        </w:rPr>
        <w:t>«conserva incólume la posibilidad de obtener un pronunciamiento jurisdiccional»</w:t>
      </w:r>
      <w:r>
        <w:rPr>
          <w:rFonts w:ascii="Arial" w:hAnsi="Arial"/>
          <w:b w:val="0"/>
          <w:i w:val="0"/>
          <w:sz w:val="28"/>
        </w:rPr>
        <w:t>. La segunda: cuando ese pronunciamiento nunca llega, la reparación corresponde a este recurso de revisión, que es exactamente el supuesto que aquí se actualiza.</w:t>
      </w:r>
    </w:p>
    <w:p>
      <w:pPr>
        <w:spacing w:line="360" w:lineRule="auto"/>
        <w:jc w:val="both"/>
      </w:pPr>
      <w:r>
        <w:rPr>
          <w:rFonts w:ascii="Arial" w:hAnsi="Arial"/>
          <w:b/>
          <w:sz w:val="28"/>
        </w:rPr>
        <w:t>IV. Aplicación al caso concreto y refutación de la actuación recurrida.</w:t>
      </w:r>
    </w:p>
    <w:p>
      <w:pPr>
        <w:spacing w:line="360" w:lineRule="auto"/>
        <w:jc w:val="both"/>
      </w:pPr>
      <w:r>
        <w:rPr>
          <w:rFonts w:ascii="Arial" w:hAnsi="Arial"/>
          <w:b w:val="0"/>
          <w:i w:val="0"/>
          <w:sz w:val="28"/>
        </w:rPr>
        <w:t xml:space="preserve">La subsunción es directa. Premisa mayor: el artículo 93, fracción IV, de la Ley de Amparo y la jurisprudencia transcrita obligan a reponer el procedimiento cuando, tras la reserva, el juzgado omite proveer una vez rendidos los informes justificados. Premisa menor: en el juicio </w:t>
      </w:r>
      <w:r>
        <w:rPr>
          <w:rFonts w:ascii="Arial" w:hAnsi="Arial"/>
          <w:b/>
          <w:i w:val="0"/>
          <w:sz w:val="28"/>
        </w:rPr>
        <w:t>[NÚMERO DEL JUICIO DE AMPARO]</w:t>
      </w:r>
      <w:r>
        <w:rPr>
          <w:rFonts w:ascii="Arial" w:hAnsi="Arial"/>
          <w:b w:val="0"/>
          <w:i w:val="0"/>
          <w:sz w:val="28"/>
        </w:rPr>
        <w:t xml:space="preserve"> los informes quedaron rendidos desde el </w:t>
      </w:r>
      <w:r>
        <w:rPr>
          <w:rFonts w:ascii="Arial" w:hAnsi="Arial"/>
          <w:b/>
          <w:i w:val="0"/>
          <w:sz w:val="28"/>
        </w:rPr>
        <w:t>[FECHA DEL ÚLTIMO INFORME JUSTIFICADO]</w:t>
      </w:r>
      <w:r>
        <w:rPr>
          <w:rFonts w:ascii="Arial" w:hAnsi="Arial"/>
          <w:b w:val="0"/>
          <w:i w:val="0"/>
          <w:sz w:val="28"/>
        </w:rPr>
        <w:t xml:space="preserve"> y jamás recayó acuerdo a la ampliación presentada el </w:t>
      </w:r>
      <w:r>
        <w:rPr>
          <w:rFonts w:ascii="Arial" w:hAnsi="Arial"/>
          <w:b/>
          <w:i w:val="0"/>
          <w:sz w:val="28"/>
        </w:rPr>
        <w:t>[FECHA DE PRESENTACIÓN DE LA AMPLIACIÓN]</w:t>
      </w:r>
      <w:r>
        <w:rPr>
          <w:rFonts w:ascii="Arial" w:hAnsi="Arial"/>
          <w:b w:val="0"/>
          <w:i w:val="0"/>
          <w:sz w:val="28"/>
        </w:rPr>
        <w:t>. Conclusión: la violación procesal está probada y exige revocar el fallo.</w:t>
      </w:r>
    </w:p>
    <w:p>
      <w:pPr>
        <w:spacing w:line="360" w:lineRule="auto"/>
        <w:jc w:val="both"/>
      </w:pPr>
      <w:r>
        <w:rPr>
          <w:rFonts w:ascii="Arial" w:hAnsi="Arial"/>
          <w:b w:val="0"/>
          <w:i w:val="0"/>
          <w:sz w:val="28"/>
        </w:rPr>
        <w:t>Conviene precisar el objeto de este agravio: no se combate el acuerdo de reserva en sí mismo, que constituye una determinación válida de dirección del procedimiento, sino la omisión ulterior de proveer una vez rendidos los informes justificados y la sentencia que clausuró el juicio sin integrar la litis; por ello, ninguna consideración sobre la legalidad de la reserva puede servir para convalidar el silencio que le siguió.</w:t>
      </w:r>
    </w:p>
    <w:p>
      <w:pPr>
        <w:spacing w:line="360" w:lineRule="auto"/>
        <w:jc w:val="both"/>
      </w:pPr>
      <w:r>
        <w:rPr>
          <w:rFonts w:ascii="Arial" w:hAnsi="Arial"/>
          <w:b w:val="0"/>
          <w:i w:val="0"/>
          <w:sz w:val="28"/>
        </w:rPr>
        <w:t xml:space="preserve">La trascendencia al resultado del fallo es manifiesta: la sentencia resolvió una litis mutilada, pues dejó fuera </w:t>
      </w:r>
      <w:r>
        <w:rPr>
          <w:rFonts w:ascii="Arial" w:hAnsi="Arial"/>
          <w:b/>
          <w:i w:val="0"/>
          <w:sz w:val="28"/>
        </w:rPr>
        <w:t>[ACTO RECLAMADO EN LA AMPLIACIÓN]</w:t>
      </w:r>
      <w:r>
        <w:rPr>
          <w:rFonts w:ascii="Arial" w:hAnsi="Arial"/>
          <w:b w:val="0"/>
          <w:i w:val="0"/>
          <w:sz w:val="28"/>
        </w:rPr>
        <w:t xml:space="preserve"> y a </w:t>
      </w:r>
      <w:r>
        <w:rPr>
          <w:rFonts w:ascii="Arial" w:hAnsi="Arial"/>
          <w:b/>
          <w:i w:val="0"/>
          <w:sz w:val="28"/>
        </w:rPr>
        <w:t>[AUTORIDAD RESPONSABLE SEÑALADA EN LA AMPLIACIÓN]</w:t>
      </w:r>
      <w:r>
        <w:rPr>
          <w:rFonts w:ascii="Arial" w:hAnsi="Arial"/>
          <w:b w:val="0"/>
          <w:i w:val="0"/>
          <w:sz w:val="28"/>
        </w:rPr>
        <w:t>; de haberse proveído la ampliación, la materia del juicio habría comprendido esos actos y el sentido del fallo pudo ser otro.</w:t>
      </w:r>
    </w:p>
    <w:p>
      <w:pPr>
        <w:spacing w:line="360" w:lineRule="auto"/>
        <w:jc w:val="both"/>
      </w:pPr>
      <w:r>
        <w:rPr>
          <w:rFonts w:ascii="Arial" w:hAnsi="Arial"/>
          <w:b w:val="0"/>
          <w:i w:val="0"/>
          <w:sz w:val="28"/>
        </w:rPr>
        <w:t>Las reglas básicas de congruencia y exhaustividad exigen que la decisión se ocupe de todos los planteamientos oportunamente formulados; su inobservancia coloca al fallo en la categoría de las sentencias arbitrarias que la doctrina identifica con precisión.</w:t>
      </w:r>
      <w:r>
        <w:rPr>
          <w:rFonts w:ascii="Arial" w:hAnsi="Arial"/>
          <w:vertAlign w:val="superscript"/>
        </w:rPr>
        <w:t>4</w:t>
      </w:r>
      <w:r>
        <w:rPr>
          <w:rFonts w:ascii="Arial" w:hAnsi="Arial"/>
          <w:b w:val="0"/>
          <w:i w:val="0"/>
          <w:sz w:val="28"/>
        </w:rPr>
        <w:t xml:space="preserve"> Una sentencia que ni siquiera menciona la ampliación pendiente no puede reputarse congruente ni exhaustiva.</w:t>
      </w:r>
    </w:p>
    <w:p>
      <w:pPr>
        <w:spacing w:line="360" w:lineRule="auto"/>
        <w:jc w:val="both"/>
      </w:pPr>
      <w:r>
        <w:rPr>
          <w:rFonts w:ascii="Arial" w:hAnsi="Arial"/>
          <w:b w:val="0"/>
          <w:i w:val="0"/>
          <w:sz w:val="28"/>
        </w:rPr>
        <w:t>Además, el silencio del juzgado transformó la reserva en aquello que el Pleno Regional excluyó expresamente: un desechamiento tácito. Si la reserva es válida porque sólo difiere el análisis, el diferimiento indefinido equivale a una negativa de hecho, huérfana de fundamentación y de motivación, que priva a la persona quejosa del acceso a la justicia respecto de los actos ampliados.</w:t>
      </w:r>
    </w:p>
    <w:p>
      <w:pPr>
        <w:spacing w:line="360" w:lineRule="auto"/>
        <w:jc w:val="both"/>
      </w:pPr>
      <w:r>
        <w:rPr>
          <w:rFonts w:ascii="Arial" w:hAnsi="Arial"/>
          <w:b w:val="0"/>
          <w:i w:val="0"/>
          <w:sz w:val="28"/>
        </w:rPr>
        <w:t>Si se pretendiera sostener que, habiendo sido legal el acuerdo de reserva, la falta de proveído posterior no causa agravio, se incurriría en la falacia del non sequitur, denominación genérica de los argumentos en los que la conclusión no se sigue de las premisas.</w:t>
      </w:r>
      <w:r>
        <w:rPr>
          <w:rFonts w:ascii="Arial" w:hAnsi="Arial"/>
          <w:vertAlign w:val="superscript"/>
        </w:rPr>
        <w:t>5</w:t>
      </w:r>
      <w:r>
        <w:rPr>
          <w:rFonts w:ascii="Arial" w:hAnsi="Arial"/>
          <w:b w:val="0"/>
          <w:i w:val="0"/>
          <w:sz w:val="28"/>
        </w:rPr>
        <w:t xml:space="preserve"> De la licitud del diferimiento temporal no se sigue la licitud de la omisión definitiva: la premisa que hacía válida la reserva era, justamente, que el pronunciamiento llegaría al rendirse los informes.</w:t>
      </w:r>
    </w:p>
    <w:p>
      <w:pPr>
        <w:spacing w:line="360" w:lineRule="auto"/>
        <w:jc w:val="both"/>
      </w:pPr>
      <w:r>
        <w:rPr>
          <w:rFonts w:ascii="Arial" w:hAnsi="Arial"/>
          <w:b w:val="0"/>
          <w:i w:val="0"/>
          <w:sz w:val="28"/>
        </w:rPr>
        <w:t>Tampoco podría oponerse a la parte recurrente el no haber interpuesto recurso de queja contra la reserva: conforme a la jurisprudencia invocada, esa queja es improcedente, de manera que no existía carga procesal alguna de agotarla, y pretender lo contrario haría nugatoria la promesa de reparación que el propio Pleno Regional depositó en esta instancia de revisión.</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Está demostrada la hipótesis del artículo 93, fracción IV, de la Ley de Amparo: una omisión violatoria de las reglas fundamentales que norman el procedimiento —la falta de todo proveído sobre la ampliación de la demanda una vez rendidos los informes justificados— que trascendió al resultado del fallo, al excluir de la litis actos y autoridades oportunamente planteados.</w:t>
      </w:r>
    </w:p>
    <w:p>
      <w:pPr>
        <w:spacing w:line="360" w:lineRule="auto"/>
        <w:jc w:val="both"/>
      </w:pPr>
      <w:r>
        <w:rPr>
          <w:rFonts w:ascii="Arial" w:hAnsi="Arial"/>
          <w:b w:val="0"/>
          <w:i w:val="0"/>
          <w:sz w:val="28"/>
        </w:rPr>
        <w:t xml:space="preserve">Por lo expuesto, se solicita a ese </w:t>
      </w:r>
      <w:r>
        <w:rPr>
          <w:rFonts w:ascii="Arial" w:hAnsi="Arial"/>
          <w:b/>
          <w:i w:val="0"/>
          <w:sz w:val="28"/>
        </w:rPr>
        <w:t>[TRIBUNAL COLEGIADO DE CIRCUITO]</w:t>
      </w:r>
      <w:r>
        <w:rPr>
          <w:rFonts w:ascii="Arial" w:hAnsi="Arial"/>
          <w:b w:val="0"/>
          <w:i w:val="0"/>
          <w:sz w:val="28"/>
        </w:rPr>
        <w:t xml:space="preserve"> declarar fundado el presente agravio, revocar la sentencia de </w:t>
      </w:r>
      <w:r>
        <w:rPr>
          <w:rFonts w:ascii="Arial" w:hAnsi="Arial"/>
          <w:b/>
          <w:i w:val="0"/>
          <w:sz w:val="28"/>
        </w:rPr>
        <w:t>[FECHA DE LA SENTENCIA RECURRIDA]</w:t>
      </w:r>
      <w:r>
        <w:rPr>
          <w:rFonts w:ascii="Arial" w:hAnsi="Arial"/>
          <w:b w:val="0"/>
          <w:i w:val="0"/>
          <w:sz w:val="28"/>
        </w:rPr>
        <w:t xml:space="preserve"> y ordenar la reposición del procedimiento a partir del momento inmediato posterior a la rendición de los informes justificados, para el efecto de que el </w:t>
      </w:r>
      <w:r>
        <w:rPr>
          <w:rFonts w:ascii="Arial" w:hAnsi="Arial"/>
          <w:b/>
          <w:i w:val="0"/>
          <w:sz w:val="28"/>
        </w:rPr>
        <w:t>[JUZGADO DE DISTRITO]</w:t>
      </w:r>
      <w:r>
        <w:rPr>
          <w:rFonts w:ascii="Arial" w:hAnsi="Arial"/>
          <w:b w:val="0"/>
          <w:i w:val="0"/>
          <w:sz w:val="28"/>
        </w:rPr>
        <w:t xml:space="preserve"> provea, con libertad de jurisdicción, lo que en derecho corresponda sobre la ampliación de la demanda, y continúe el juicio hasta resolver la litis de manera integral, observando en lo conducente los artículos 111, 115 y 117 de la Ley de Amparo.</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554.</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 p. 404.</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1568.</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180.</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64.</w:t>
      </w:r>
    </w:p>
    <w:p/>
    <w:p>
      <w:r>
        <w:rPr>
          <w:rFonts w:ascii="Arial" w:hAnsi="Arial"/>
          <w:b/>
          <w:sz w:val="22"/>
        </w:rPr>
        <w:t>BIBLIOGRAFÍA</w:t>
      </w:r>
    </w:p>
    <w:p>
      <w:pPr>
        <w:spacing w:after="60"/>
        <w:ind w:left="360" w:hanging="360"/>
        <w:jc w:val="both"/>
      </w:pP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w:t>
      </w:r>
    </w:p>
    <w:p>
      <w:pPr>
        <w:spacing w:after="60"/>
        <w:ind w:left="360" w:hanging="360"/>
        <w:jc w:val="both"/>
      </w:pP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