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LABORAL. SALARIO BASE EN RECAÍDA POR RIESGO DE TRABAJO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Primero lee completa la sentencia que vas a combatir y ubica el considerando exacto donde el tribunal decidió calcular la prestación con el salario del riesgo original: ese es el blanco del concepto de violación. Después rellena los campos entre corchetes con los datos de tu expediente, verifica que las dos cantidades de salario estén acreditadas en autos y ajusta la petición de efectos a la prestación concreta que reclamas. Al final, integra este apartado al escrito de demanda de amparo directo junto con tu proemio y capítulos generales.</w:t>
      </w:r>
    </w:p>
    <w:p>
      <w:pPr>
        <w:spacing w:line="360" w:lineRule="auto"/>
        <w:jc w:val="both"/>
      </w:pPr>
      <w:r>
        <w:rPr>
          <w:rFonts w:ascii="Arial" w:hAnsi="Arial"/>
          <w:b/>
          <w:i w:val="0"/>
          <w:sz w:val="24"/>
        </w:rPr>
        <w:t>[NOMBRE DE LA PERSONA QUEJOSA]</w:t>
      </w:r>
      <w:r>
        <w:rPr>
          <w:rFonts w:ascii="Arial" w:hAnsi="Arial"/>
          <w:b w:val="0"/>
          <w:i w:val="0"/>
          <w:sz w:val="24"/>
        </w:rPr>
        <w:t>: nombre completo de la persona trabajadora asegurada.</w:t>
      </w:r>
    </w:p>
    <w:p>
      <w:pPr>
        <w:spacing w:line="360" w:lineRule="auto"/>
        <w:jc w:val="both"/>
      </w:pPr>
      <w:r>
        <w:rPr>
          <w:rFonts w:ascii="Arial" w:hAnsi="Arial"/>
          <w:b/>
          <w:i w:val="0"/>
          <w:sz w:val="24"/>
        </w:rPr>
        <w:t>[FECHA DE LA SENTENCIA RECLAMADA]</w:t>
      </w:r>
      <w:r>
        <w:rPr>
          <w:rFonts w:ascii="Arial" w:hAnsi="Arial"/>
          <w:b w:val="0"/>
          <w:i w:val="0"/>
          <w:sz w:val="24"/>
        </w:rPr>
        <w:t>: fecha en que el tribunal laboral dictó la sentencia.</w:t>
      </w:r>
    </w:p>
    <w:p>
      <w:pPr>
        <w:spacing w:line="360" w:lineRule="auto"/>
        <w:jc w:val="both"/>
      </w:pPr>
      <w:r>
        <w:rPr>
          <w:rFonts w:ascii="Arial" w:hAnsi="Arial"/>
          <w:b/>
          <w:i w:val="0"/>
          <w:sz w:val="24"/>
        </w:rPr>
        <w:t>[TRIBUNAL LABORAL FEDERAL RESPONSABLE]</w:t>
      </w:r>
      <w:r>
        <w:rPr>
          <w:rFonts w:ascii="Arial" w:hAnsi="Arial"/>
          <w:b w:val="0"/>
          <w:i w:val="0"/>
          <w:sz w:val="24"/>
        </w:rPr>
        <w:t>: denominación completa del tribunal que la dictó.</w:t>
      </w:r>
    </w:p>
    <w:p>
      <w:pPr>
        <w:spacing w:line="360" w:lineRule="auto"/>
        <w:jc w:val="both"/>
      </w:pPr>
      <w:r>
        <w:rPr>
          <w:rFonts w:ascii="Arial" w:hAnsi="Arial"/>
          <w:b/>
          <w:i w:val="0"/>
          <w:sz w:val="24"/>
        </w:rPr>
        <w:t>[NÚMERO DEL JUICIO LABORAL DE ORIGEN]</w:t>
      </w:r>
      <w:r>
        <w:rPr>
          <w:rFonts w:ascii="Arial" w:hAnsi="Arial"/>
          <w:b w:val="0"/>
          <w:i w:val="0"/>
          <w:sz w:val="24"/>
        </w:rPr>
        <w:t>: expediente del juicio contra el IMSS.</w:t>
      </w:r>
    </w:p>
    <w:p>
      <w:pPr>
        <w:spacing w:line="360" w:lineRule="auto"/>
        <w:jc w:val="both"/>
      </w:pPr>
      <w:r>
        <w:rPr>
          <w:rFonts w:ascii="Arial" w:hAnsi="Arial"/>
          <w:b/>
          <w:i w:val="0"/>
          <w:sz w:val="24"/>
        </w:rPr>
        <w:t>[PRESTACIÓN EN DINERO RECLAMADA]</w:t>
      </w:r>
      <w:r>
        <w:rPr>
          <w:rFonts w:ascii="Arial" w:hAnsi="Arial"/>
          <w:b w:val="0"/>
          <w:i w:val="0"/>
          <w:sz w:val="24"/>
        </w:rPr>
        <w:t>: subsidio o prestación cuyo cálculo combates.</w:t>
      </w:r>
    </w:p>
    <w:p>
      <w:pPr>
        <w:spacing w:line="360" w:lineRule="auto"/>
        <w:jc w:val="both"/>
      </w:pPr>
      <w:r>
        <w:rPr>
          <w:rFonts w:ascii="Arial" w:hAnsi="Arial"/>
          <w:b/>
          <w:i w:val="0"/>
          <w:sz w:val="24"/>
        </w:rPr>
        <w:t>[FECHA DEL RIESGO DE TRABAJO ORIGINAL]</w:t>
      </w:r>
      <w:r>
        <w:rPr>
          <w:rFonts w:ascii="Arial" w:hAnsi="Arial"/>
          <w:b w:val="0"/>
          <w:i w:val="0"/>
          <w:sz w:val="24"/>
        </w:rPr>
        <w:t>: día del accidente o enfermedad reconocidos.</w:t>
      </w:r>
    </w:p>
    <w:p>
      <w:pPr>
        <w:spacing w:line="360" w:lineRule="auto"/>
        <w:jc w:val="both"/>
      </w:pPr>
      <w:r>
        <w:rPr>
          <w:rFonts w:ascii="Arial" w:hAnsi="Arial"/>
          <w:b/>
          <w:i w:val="0"/>
          <w:sz w:val="24"/>
        </w:rPr>
        <w:t>[FECHA DEL DICTAMEN QUE DETERMINÓ PROCEDENTE LA RECAÍDA]</w:t>
      </w:r>
      <w:r>
        <w:rPr>
          <w:rFonts w:ascii="Arial" w:hAnsi="Arial"/>
          <w:b w:val="0"/>
          <w:i w:val="0"/>
          <w:sz w:val="24"/>
        </w:rPr>
        <w:t>: fecha del dictamen del IMSS que calificó la recaída.</w:t>
      </w:r>
    </w:p>
    <w:p>
      <w:pPr>
        <w:spacing w:line="360" w:lineRule="auto"/>
        <w:jc w:val="both"/>
      </w:pPr>
      <w:r>
        <w:rPr>
          <w:rFonts w:ascii="Arial" w:hAnsi="Arial"/>
          <w:b/>
          <w:i w:val="0"/>
          <w:sz w:val="24"/>
        </w:rPr>
        <w:t>[CONSIDERANDO Y FOJA DE LA SENTENCIA RECLAMADA]</w:t>
      </w:r>
      <w:r>
        <w:rPr>
          <w:rFonts w:ascii="Arial" w:hAnsi="Arial"/>
          <w:b w:val="0"/>
          <w:i w:val="0"/>
          <w:sz w:val="24"/>
        </w:rPr>
        <w:t>: considerando y foja donde está la decisión que atacas.</w:t>
      </w:r>
    </w:p>
    <w:p>
      <w:pPr>
        <w:spacing w:line="360" w:lineRule="auto"/>
        <w:jc w:val="both"/>
      </w:pPr>
      <w:r>
        <w:rPr>
          <w:rFonts w:ascii="Arial" w:hAnsi="Arial"/>
          <w:b/>
          <w:i w:val="0"/>
          <w:sz w:val="24"/>
        </w:rPr>
        <w:t>[SALARIO REGISTRADO AL OCURRIR EL RIESGO ORIGINAL]</w:t>
      </w:r>
      <w:r>
        <w:rPr>
          <w:rFonts w:ascii="Arial" w:hAnsi="Arial"/>
          <w:b w:val="0"/>
          <w:i w:val="0"/>
          <w:sz w:val="24"/>
        </w:rPr>
        <w:t>: cantidad diaria registrada en la fecha del siniestro.</w:t>
      </w:r>
    </w:p>
    <w:p>
      <w:pPr>
        <w:spacing w:line="360" w:lineRule="auto"/>
        <w:jc w:val="both"/>
      </w:pPr>
      <w:r>
        <w:rPr>
          <w:rFonts w:ascii="Arial" w:hAnsi="Arial"/>
          <w:b/>
          <w:i w:val="0"/>
          <w:sz w:val="24"/>
        </w:rPr>
        <w:t>[SALARIO REGISTRADO AL DETERMINARSE LA RECAÍDA]</w:t>
      </w:r>
      <w:r>
        <w:rPr>
          <w:rFonts w:ascii="Arial" w:hAnsi="Arial"/>
          <w:b w:val="0"/>
          <w:i w:val="0"/>
          <w:sz w:val="24"/>
        </w:rPr>
        <w:t>: cantidad diaria registrada al calificarse la recaída.</w:t>
      </w:r>
    </w:p>
    <w:p>
      <w:pPr>
        <w:spacing w:line="360" w:lineRule="auto"/>
        <w:jc w:val="both"/>
      </w:pPr>
      <w:r>
        <w:rPr>
          <w:rFonts w:ascii="Arial" w:hAnsi="Arial"/>
          <w:b/>
          <w:i w:val="0"/>
          <w:sz w:val="24"/>
        </w:rPr>
        <w:t>[PRUEBAS QUE ACREDITAN AMBOS SALARIOS]</w:t>
      </w:r>
      <w:r>
        <w:rPr>
          <w:rFonts w:ascii="Arial" w:hAnsi="Arial"/>
          <w:b w:val="0"/>
          <w:i w:val="0"/>
          <w:sz w:val="24"/>
        </w:rPr>
        <w:t>: constancias de semanas cotizadas, avisos afiliatorios o documentos donde constan los salarios.</w:t>
      </w:r>
    </w:p>
    <w:p>
      <w:pPr>
        <w:spacing w:line="360" w:lineRule="auto"/>
        <w:jc w:val="both"/>
      </w:pPr>
      <w:r>
        <w:rPr>
          <w:rFonts w:ascii="Arial" w:hAnsi="Arial"/>
          <w:b/>
          <w:i w:val="0"/>
          <w:sz w:val="24"/>
        </w:rPr>
        <w:t>[PERIODO POR EL QUE SE RECLAMAN DIFERENCIAS]</w:t>
      </w:r>
      <w:r>
        <w:rPr>
          <w:rFonts w:ascii="Arial" w:hAnsi="Arial"/>
          <w:b w:val="0"/>
          <w:i w:val="0"/>
          <w:sz w:val="24"/>
        </w:rPr>
        <w:t>: lapso en que se pagó la prestación con base menor.</w:t>
      </w:r>
    </w:p>
    <w:p>
      <w:pPr>
        <w:spacing w:line="360" w:lineRule="auto"/>
        <w:jc w:val="both"/>
      </w:pPr>
      <w:r>
        <w:rPr>
          <w:rFonts w:ascii="Arial" w:hAnsi="Arial"/>
          <w:b/>
          <w:i w:val="0"/>
          <w:sz w:val="24"/>
        </w:rPr>
        <w:t>[FECHA DE NOTIFICACIÓN DE LA SENTENCIA RECLAMADA]</w:t>
      </w:r>
      <w:r>
        <w:rPr>
          <w:rFonts w:ascii="Arial" w:hAnsi="Arial"/>
          <w:b w:val="0"/>
          <w:i w:val="0"/>
          <w:sz w:val="24"/>
        </w:rPr>
        <w:t>: día en que te notificaron la sentencia, para el cómputo de la oportunidad.</w:t>
      </w:r>
    </w:p>
    <w:p/>
    <w:p>
      <w:pPr>
        <w:spacing w:line="360" w:lineRule="auto"/>
        <w:jc w:val="both"/>
      </w:pPr>
      <w:r>
        <w:rPr>
          <w:rFonts w:ascii="Arial" w:hAnsi="Arial"/>
          <w:b/>
          <w:sz w:val="28"/>
        </w:rPr>
        <w:t>ÚNICO CONCEPTO DE VIOLACIÓN. Aplicación inexacta de los artículos 58, fracción I, y 62 de la Ley del Seguro Social, inobservancia del artículo 74, fracción I, del Reglamento de la Ley del Seguro Social en Materia de Afiliación, Clasificación de Empresas, Recaudación y Fiscalización, y desacato de la jurisprudencia obligatoria PR.P.T.CN. J/12 L (12a.), porque la responsable cuantificó las prestaciones en dinero derivadas de la recaída con el salario vigente al ocurrir el riesgo de trabajo original.</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En este concepto de violación se demostrará que la sentencia dictada el </w:t>
      </w:r>
      <w:r>
        <w:rPr>
          <w:rFonts w:ascii="Arial" w:hAnsi="Arial"/>
          <w:b/>
          <w:i w:val="0"/>
          <w:sz w:val="28"/>
        </w:rPr>
        <w:t>[FECHA DE LA SENTENCIA RECLAMADA]</w:t>
      </w:r>
      <w:r>
        <w:rPr>
          <w:rFonts w:ascii="Arial" w:hAnsi="Arial"/>
          <w:b w:val="0"/>
          <w:i w:val="0"/>
          <w:sz w:val="28"/>
        </w:rPr>
        <w:t xml:space="preserve"> por el </w:t>
      </w:r>
      <w:r>
        <w:rPr>
          <w:rFonts w:ascii="Arial" w:hAnsi="Arial"/>
          <w:b/>
          <w:i w:val="0"/>
          <w:sz w:val="28"/>
        </w:rPr>
        <w:t>[TRIBUNAL LABORAL FEDERAL RESPONSABLE]</w:t>
      </w:r>
      <w:r>
        <w:rPr>
          <w:rFonts w:ascii="Arial" w:hAnsi="Arial"/>
          <w:b w:val="0"/>
          <w:i w:val="0"/>
          <w:sz w:val="28"/>
        </w:rPr>
        <w:t xml:space="preserve">, en el juicio </w:t>
      </w:r>
      <w:r>
        <w:rPr>
          <w:rFonts w:ascii="Arial" w:hAnsi="Arial"/>
          <w:b/>
          <w:i w:val="0"/>
          <w:sz w:val="28"/>
        </w:rPr>
        <w:t>[NÚMERO DEL JUICIO LABORAL DE ORIGEN]</w:t>
      </w:r>
      <w:r>
        <w:rPr>
          <w:rFonts w:ascii="Arial" w:hAnsi="Arial"/>
          <w:b w:val="0"/>
          <w:i w:val="0"/>
          <w:sz w:val="28"/>
        </w:rPr>
        <w:t xml:space="preserve">, viola en perjuicio de la persona quejosa </w:t>
      </w:r>
      <w:r>
        <w:rPr>
          <w:rFonts w:ascii="Arial" w:hAnsi="Arial"/>
          <w:b/>
          <w:i w:val="0"/>
          <w:sz w:val="28"/>
        </w:rPr>
        <w:t>[NOMBRE DE LA PERSONA QUEJOSA]</w:t>
      </w:r>
      <w:r>
        <w:rPr>
          <w:rFonts w:ascii="Arial" w:hAnsi="Arial"/>
          <w:b w:val="0"/>
          <w:i w:val="0"/>
          <w:sz w:val="28"/>
        </w:rPr>
        <w:t xml:space="preserve"> los artículos 14, 16 y 17 de la Constitución Política de los Estados Unidos Mexicanos, pues cuantificó la </w:t>
      </w:r>
      <w:r>
        <w:rPr>
          <w:rFonts w:ascii="Arial" w:hAnsi="Arial"/>
          <w:b/>
          <w:i w:val="0"/>
          <w:sz w:val="28"/>
        </w:rPr>
        <w:t>[PRESTACIÓN EN DINERO RECLAMADA]</w:t>
      </w:r>
      <w:r>
        <w:rPr>
          <w:rFonts w:ascii="Arial" w:hAnsi="Arial"/>
          <w:b w:val="0"/>
          <w:i w:val="0"/>
          <w:sz w:val="28"/>
        </w:rPr>
        <w:t xml:space="preserve"> con el salario base de cotización vigente cuando ocurrió el riesgo de trabajo y no con el registrado cuando el Instituto Mexicano del Seguro Social determinó procedente la recaída.</w:t>
      </w:r>
    </w:p>
    <w:p>
      <w:pPr>
        <w:spacing w:line="360" w:lineRule="auto"/>
        <w:jc w:val="both"/>
      </w:pPr>
      <w:r>
        <w:rPr>
          <w:rFonts w:ascii="Arial" w:hAnsi="Arial"/>
          <w:b w:val="0"/>
          <w:i w:val="0"/>
          <w:sz w:val="28"/>
        </w:rPr>
        <w:t>Ese proceder desatiende frontalmente la jurisprudencia del Pleno Regional en Materias Penal y de Trabajo de la Región Centro-Norte, con residencia en la Ciudad de México, de observancia obligatoria conforme al artículo 217 de la Ley de Amparo, la cual resolvió precisamente el punto aquí debatido: el salario aplicable a las prestaciones derivadas de una recaída es el registrado al momento en que el Instituto determina su procedencia. Por ello, según se razona enseguida, procede conceder el amparo para que la responsable repare la cuantificación.</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litis del juicio de origen, en la parte que aquí se combate, consistió en definir cuál es el salario base de cotización con el que deben pagarse las prestaciones en dinero generadas por la recaída que sufrió la persona quejosa, derivada del riesgo de trabajo que el propio Instituto le reconoció con motivo del siniestro acaecido el </w:t>
      </w:r>
      <w:r>
        <w:rPr>
          <w:rFonts w:ascii="Arial" w:hAnsi="Arial"/>
          <w:b/>
          <w:i w:val="0"/>
          <w:sz w:val="28"/>
        </w:rPr>
        <w:t>[FECHA DEL RIESGO DE TRABAJO ORIGINAL]</w:t>
      </w:r>
      <w:r>
        <w:rPr>
          <w:rFonts w:ascii="Arial" w:hAnsi="Arial"/>
          <w:b w:val="0"/>
          <w:i w:val="0"/>
          <w:sz w:val="28"/>
        </w:rPr>
        <w:t xml:space="preserve">. La recaída fue calificada como procedente mediante dictamen de </w:t>
      </w:r>
      <w:r>
        <w:rPr>
          <w:rFonts w:ascii="Arial" w:hAnsi="Arial"/>
          <w:b/>
          <w:i w:val="0"/>
          <w:sz w:val="28"/>
        </w:rPr>
        <w:t>[FECHA DEL DICTAMEN QUE DETERMINÓ PROCEDENTE LA RECAÍDA]</w:t>
      </w:r>
      <w:r>
        <w:rPr>
          <w:rFonts w:ascii="Arial" w:hAnsi="Arial"/>
          <w:b w:val="0"/>
          <w:i w:val="0"/>
          <w:sz w:val="28"/>
        </w:rPr>
        <w:t>, cuando la persona asegurada cotizaba con un salario superior al de la fecha del siniestro.</w:t>
      </w:r>
    </w:p>
    <w:p>
      <w:pPr>
        <w:spacing w:line="360" w:lineRule="auto"/>
        <w:jc w:val="both"/>
      </w:pPr>
      <w:r>
        <w:rPr>
          <w:rFonts w:ascii="Arial" w:hAnsi="Arial"/>
          <w:b w:val="0"/>
          <w:i w:val="0"/>
          <w:sz w:val="28"/>
        </w:rPr>
        <w:t xml:space="preserve">En el </w:t>
      </w:r>
      <w:r>
        <w:rPr>
          <w:rFonts w:ascii="Arial" w:hAnsi="Arial"/>
          <w:b/>
          <w:i w:val="0"/>
          <w:sz w:val="28"/>
        </w:rPr>
        <w:t>[CONSIDERANDO Y FOJA DE LA SENTENCIA RECLAMADA]</w:t>
      </w:r>
      <w:r>
        <w:rPr>
          <w:rFonts w:ascii="Arial" w:hAnsi="Arial"/>
          <w:b w:val="0"/>
          <w:i w:val="0"/>
          <w:sz w:val="28"/>
        </w:rPr>
        <w:t xml:space="preserve">, la responsable sostuvo que la prestación debía calcularse con el salario vigente al ocurrir el riesgo de trabajo, esto es, con la cantidad de </w:t>
      </w:r>
      <w:r>
        <w:rPr>
          <w:rFonts w:ascii="Arial" w:hAnsi="Arial"/>
          <w:b/>
          <w:i w:val="0"/>
          <w:sz w:val="28"/>
        </w:rPr>
        <w:t>[SALARIO REGISTRADO AL OCURRIR EL RIESGO ORIGINAL]</w:t>
      </w:r>
      <w:r>
        <w:rPr>
          <w:rFonts w:ascii="Arial" w:hAnsi="Arial"/>
          <w:b w:val="0"/>
          <w:i w:val="0"/>
          <w:sz w:val="28"/>
        </w:rPr>
        <w:t xml:space="preserve">, apoyándose en el artículo 58, fracción I, de la Ley del Seguro Social, y desestimó la pretensión de que se tomara como base la cantidad de </w:t>
      </w:r>
      <w:r>
        <w:rPr>
          <w:rFonts w:ascii="Arial" w:hAnsi="Arial"/>
          <w:b/>
          <w:i w:val="0"/>
          <w:sz w:val="28"/>
        </w:rPr>
        <w:t>[SALARIO REGISTRADO AL DETERMINARSE LA RECAÍDA]</w:t>
      </w:r>
      <w:r>
        <w:rPr>
          <w:rFonts w:ascii="Arial" w:hAnsi="Arial"/>
          <w:b w:val="0"/>
          <w:i w:val="0"/>
          <w:sz w:val="28"/>
        </w:rPr>
        <w:t>. Con ello aplicó de manera inexacta aquel precepto y dejó de aplicar el artículo 74, fracción I, del Reglamento mencionado.</w:t>
      </w:r>
    </w:p>
    <w:p>
      <w:pPr>
        <w:spacing w:line="360" w:lineRule="auto"/>
        <w:jc w:val="both"/>
      </w:pPr>
      <w:r>
        <w:rPr>
          <w:rFonts w:ascii="Arial" w:hAnsi="Arial"/>
          <w:b w:val="0"/>
          <w:i w:val="0"/>
          <w:sz w:val="28"/>
        </w:rPr>
        <w:t>El perjuicio es directo y cuantificable: la cuantía del subsidio y de las diferencias reclamadas depende del salario que sirva de base, de manera que emplear el salario histórico, inferior al registrado al momento del dictamen, disminuye indebidamente la prestación que corresponde a la persona quejosa y consuma una violación de fondo, de las llamadas in judicando, que amerita la concesión del amparo sin necesidad de reponer el procedimiento.</w:t>
      </w:r>
    </w:p>
    <w:p>
      <w:pPr>
        <w:spacing w:line="360" w:lineRule="auto"/>
        <w:jc w:val="both"/>
      </w:pPr>
      <w:r>
        <w:rPr>
          <w:rFonts w:ascii="Arial" w:hAnsi="Arial"/>
          <w:b/>
          <w:sz w:val="28"/>
        </w:rPr>
        <w:t>III. Desarrollo doctrinal y jurisprudencial. Premisa mayor.</w:t>
      </w:r>
    </w:p>
    <w:p>
      <w:pPr>
        <w:spacing w:line="360" w:lineRule="auto"/>
        <w:jc w:val="both"/>
      </w:pPr>
      <w:r>
        <w:rPr>
          <w:rFonts w:ascii="Arial" w:hAnsi="Arial"/>
          <w:b w:val="0"/>
          <w:i w:val="0"/>
          <w:sz w:val="28"/>
        </w:rPr>
        <w:t>El punto de partida es el artículo 123, apartado A, fracción XXIX, de la Constitución, que declara de utilidad pública la Ley del Seguro Social, comprensiva de los seguros encaminados a la protección y bienestar de las personas trabajadoras y de sus familias. La doctrina especializada explica que el derecho a la seguridad social protege a las personas contra los riesgos graves que ciertas situaciones naturales y sociales implican para su vida y su bienestar.</w:t>
      </w:r>
      <w:r>
        <w:rPr>
          <w:rFonts w:ascii="Arial" w:hAnsi="Arial"/>
          <w:vertAlign w:val="superscript"/>
        </w:rPr>
        <w:t>1</w:t>
      </w:r>
    </w:p>
    <w:p>
      <w:pPr>
        <w:spacing w:line="360" w:lineRule="auto"/>
        <w:jc w:val="both"/>
      </w:pPr>
      <w:r>
        <w:rPr>
          <w:rFonts w:ascii="Arial" w:hAnsi="Arial"/>
          <w:b w:val="0"/>
          <w:i w:val="0"/>
          <w:sz w:val="28"/>
        </w:rPr>
        <w:t>El seguro de riesgos de trabajo es la expresión más nítida de esa protección, pues cubre las consecuencias económicas de los accidentes y enfermedades sufridos en ejercicio o con motivo del trabajo, mediante prestaciones en especie y en dinero cuya cuantía se calcula, justamente, sobre el salario base de cotización de la persona asegurada.</w:t>
      </w:r>
    </w:p>
    <w:p>
      <w:pPr>
        <w:spacing w:line="360" w:lineRule="auto"/>
        <w:jc w:val="both"/>
      </w:pPr>
      <w:r>
        <w:rPr>
          <w:rFonts w:ascii="Arial" w:hAnsi="Arial"/>
          <w:b w:val="0"/>
          <w:i w:val="0"/>
          <w:sz w:val="28"/>
        </w:rPr>
        <w:t>Dentro de ese régimen, el artículo 58, fracción I, de la Ley del Seguro Social otorga a la persona asegurada que sufre un riesgo de trabajo un subsidio calculado sobre el salario base de cotización vigente al momento en que ocurre el siniestro, por constituir éste el hecho que da origen a la prestación. Por su parte, el artículo 62 de la misma ley regula un momento posterior y distinto: la recaída, esto es, la reaparición o agravamiento de las consecuencias del riesgo previamente reconocido, supuesto en el cual la persona asegurada tiene derecho al subsidio, sin que el precepto precise el salario con el que debe pagarse.</w:t>
      </w:r>
    </w:p>
    <w:p>
      <w:pPr>
        <w:spacing w:line="360" w:lineRule="auto"/>
        <w:jc w:val="both"/>
      </w:pPr>
      <w:r>
        <w:rPr>
          <w:rFonts w:ascii="Arial" w:hAnsi="Arial"/>
          <w:b w:val="0"/>
          <w:i w:val="0"/>
          <w:sz w:val="28"/>
        </w:rPr>
        <w:t>Esa omisión no es una autorización para trasladar mecánicamente la regla del artículo 58, fracción I, sino una cuestión interpretativa que debe resolverse con los métodos que la ciencia jurídica reconoce. La doctrina enseña que la interpretación de carácter sistemático adopta formas argumentativas diversas, como el argumento a cohaerentia, el argumento sedes materiae y el de constancia terminológica, y que descansa, ante todo, en la conexión material entre los preceptos que regulan la misma materia.</w:t>
      </w:r>
      <w:r>
        <w:rPr>
          <w:rFonts w:ascii="Arial" w:hAnsi="Arial"/>
          <w:vertAlign w:val="superscript"/>
        </w:rPr>
        <w:t>2</w:t>
      </w:r>
    </w:p>
    <w:p>
      <w:pPr>
        <w:spacing w:line="360" w:lineRule="auto"/>
        <w:jc w:val="both"/>
      </w:pPr>
      <w:r>
        <w:rPr>
          <w:rFonts w:ascii="Arial" w:hAnsi="Arial"/>
          <w:b w:val="0"/>
          <w:i w:val="0"/>
          <w:sz w:val="28"/>
        </w:rPr>
        <w:t>En el mismo sentido se explica que el criterio sistemático justifica atribuir a una disposición el significado sugerido, o no impedido, por el contexto normativo del que forma parte, precisamente porque el derecho es un sistema y, como tal, coherente y ordenado.</w:t>
      </w:r>
      <w:r>
        <w:rPr>
          <w:rFonts w:ascii="Arial" w:hAnsi="Arial"/>
          <w:vertAlign w:val="superscript"/>
        </w:rPr>
        <w:t>3</w:t>
      </w:r>
      <w:r>
        <w:rPr>
          <w:rFonts w:ascii="Arial" w:hAnsi="Arial"/>
          <w:b w:val="0"/>
          <w:i w:val="0"/>
          <w:sz w:val="28"/>
        </w:rPr>
        <w:t xml:space="preserve"> El contexto del artículo 62 comprende, de modo inmediato, el reglamento que desarrolla la propia ley, pues ley y reglamento integran una unidad normativa al servicio de los mismos fines.</w:t>
      </w:r>
    </w:p>
    <w:p>
      <w:pPr>
        <w:spacing w:line="360" w:lineRule="auto"/>
        <w:jc w:val="both"/>
      </w:pPr>
      <w:r>
        <w:rPr>
          <w:rFonts w:ascii="Arial" w:hAnsi="Arial"/>
          <w:b w:val="0"/>
          <w:i w:val="0"/>
          <w:sz w:val="28"/>
        </w:rPr>
        <w:t>Sobre el papel del reglamento, la doctrina constitucional recuerda que la facultad reglamentaria prevista en el artículo 89, fracción I, de la Constitución autoriza al Ejecutivo Federal a expedir las disposiciones necesarias para la ejecución de las leyes, con el límite, aceptado por doctrina y jurisprudencia, de que el reglamento no puede contrariar la ley ni ir más allá de ella.</w:t>
      </w:r>
      <w:r>
        <w:rPr>
          <w:rFonts w:ascii="Arial" w:hAnsi="Arial"/>
          <w:vertAlign w:val="superscript"/>
        </w:rPr>
        <w:t>4</w:t>
      </w:r>
      <w:r>
        <w:rPr>
          <w:rFonts w:ascii="Arial" w:hAnsi="Arial"/>
          <w:b w:val="0"/>
          <w:i w:val="0"/>
          <w:sz w:val="28"/>
        </w:rPr>
        <w:t xml:space="preserve"> El reglamento válido, por tanto, complementa y facilita la aplicación de la norma legal, sin sustituirla ni deformarla.</w:t>
      </w:r>
    </w:p>
    <w:p>
      <w:pPr>
        <w:spacing w:line="360" w:lineRule="auto"/>
        <w:jc w:val="both"/>
      </w:pPr>
      <w:r>
        <w:rPr>
          <w:rFonts w:ascii="Arial" w:hAnsi="Arial"/>
          <w:b w:val="0"/>
          <w:i w:val="0"/>
          <w:sz w:val="28"/>
        </w:rPr>
        <w:t>Pues bien, el artículo 74, fracción I, del Reglamento de la Ley del Seguro Social en Materia de Afiliación, Clasificación de Empresas, Recaudación y Fiscalización desarrolla las hipótesis que pueden actualizarse con motivo de una recaída y dispone que, para efectos del pago del subsidio a que se refiere el primer párrafo del artículo 62 de la ley, deberá tomarse como base el salario que la persona trabajadora tenga registrado al momento en que el Instituto determine la procedencia de la recaída.</w:t>
      </w:r>
    </w:p>
    <w:p>
      <w:pPr>
        <w:spacing w:line="360" w:lineRule="auto"/>
        <w:jc w:val="both"/>
      </w:pPr>
      <w:r>
        <w:rPr>
          <w:rFonts w:ascii="Arial" w:hAnsi="Arial"/>
          <w:b w:val="0"/>
          <w:i w:val="0"/>
          <w:sz w:val="28"/>
        </w:rPr>
        <w:t>Éste es exactamente el criterio que fijó, con carácter de jurisprudencia, el Pleno Regional en Materias Penal y de Trabajo de la Región Centro-Norte al resolver la contradicción de criterios 24/2026, suscitada entre el Segundo y el Tercer Tribunales Colegiados, ambos del Trigésimo Circuito.</w:t>
      </w:r>
    </w:p>
    <w:p>
      <w:pPr>
        <w:spacing w:line="360" w:lineRule="auto"/>
        <w:jc w:val="both"/>
      </w:pPr>
      <w:r>
        <w:rPr>
          <w:rFonts w:ascii="Arial" w:hAnsi="Arial"/>
          <w:b w:val="0"/>
          <w:i w:val="0"/>
          <w:sz w:val="28"/>
        </w:rPr>
        <w:t>La doctrina describe la contradicción de criterios como el procedimiento cuya finalidad es poner fin a la incertidumbre y a la discrepancia creadas por la existencia de criterios opuestos entre sí frente a situaciones similares, mediante una jurisprudencia que permita resolver uniformemente los casos futuros que versen sobre el mismo fondo, evite contradicciones entre los criterios interpretativos del Poder Judicial y ofrezca seguridad jurídica a la sociedad.</w:t>
      </w:r>
      <w:r>
        <w:rPr>
          <w:rFonts w:ascii="Arial" w:hAnsi="Arial"/>
          <w:vertAlign w:val="superscript"/>
        </w:rPr>
        <w:t>5</w:t>
      </w:r>
    </w:p>
    <w:p>
      <w:pPr>
        <w:spacing w:line="360" w:lineRule="auto"/>
        <w:jc w:val="both"/>
      </w:pPr>
      <w:r>
        <w:rPr>
          <w:rFonts w:ascii="Arial" w:hAnsi="Arial"/>
          <w:b w:val="0"/>
          <w:i w:val="0"/>
          <w:sz w:val="28"/>
        </w:rPr>
        <w:t xml:space="preserve">La jurisprudencia lleva por rubro: </w:t>
      </w:r>
      <w:r>
        <w:rPr>
          <w:rFonts w:ascii="Arial" w:hAnsi="Arial"/>
          <w:b w:val="0"/>
          <w:i/>
          <w:sz w:val="28"/>
        </w:rPr>
        <w:t>«RECAÍDA DERIVADA DE UN RIESGO DE TRABAJO. EL SALARIO BASE DE COTIZACIÓN PARA CALCULAR LAS PRESTACIONES CORRESPONDIENTES ES EL QUE LA PERSONA ASEGURADA TENGA REGISTRADO AL MOMENTO EN QUE EL INSTITUTO MEXICANO DEL SEGURO SOCIAL DETERMINE LA PROCEDENCIA DE LA RECAÍDA.»</w:t>
      </w:r>
      <w:r>
        <w:rPr>
          <w:rFonts w:ascii="Arial" w:hAnsi="Arial"/>
          <w:b w:val="0"/>
          <w:i w:val="0"/>
          <w:sz w:val="28"/>
        </w:rPr>
        <w:t>, clave PR.P.T.CN. J/12 L (12a.), registro digital 2032532, publicada en el Semanario Judicial de la Federación el viernes 21 de agosto de 2026 y de aplicación obligatoria a partir del lunes 24 de agosto de 2026.</w:t>
      </w:r>
    </w:p>
    <w:p>
      <w:pPr>
        <w:spacing w:line="360" w:lineRule="auto"/>
        <w:jc w:val="both"/>
      </w:pPr>
      <w:r>
        <w:rPr>
          <w:rFonts w:ascii="Arial" w:hAnsi="Arial"/>
          <w:b w:val="0"/>
          <w:i w:val="0"/>
          <w:sz w:val="28"/>
        </w:rPr>
        <w:t xml:space="preserve">Su criterio esencial es el siguiente: </w:t>
      </w:r>
      <w:r>
        <w:rPr>
          <w:rFonts w:ascii="Arial" w:hAnsi="Arial"/>
          <w:b w:val="0"/>
          <w:i/>
          <w:sz w:val="28"/>
        </w:rPr>
        <w:t>«El salario que debe tomarse como base para cuantificar y pagar las prestaciones en dinero derivadas de una recaída originada por un riesgo de trabajo previamente reconocido por el Instituto Mexicano del Seguro Social, es el que la persona asegurada tenga registrado al momento en que dicho instituto determine procedente la recaída, conforme al artículo 74, fracción I, del Reglamento de la Ley del Seguro Social en Materia de Afiliación, Clasificación de Empresas, Recaudación y Fiscalización.»</w:t>
      </w:r>
    </w:p>
    <w:p>
      <w:pPr>
        <w:spacing w:line="360" w:lineRule="auto"/>
        <w:jc w:val="both"/>
      </w:pPr>
      <w:r>
        <w:rPr>
          <w:rFonts w:ascii="Arial" w:hAnsi="Arial"/>
          <w:b w:val="0"/>
          <w:i w:val="0"/>
          <w:sz w:val="28"/>
        </w:rPr>
        <w:t>En la justificación del criterio, el Pleno Regional precisó que los artículos 58, fracción I, y 62 de la ley contemplan hechos generadores distintos; que el segundo no señala el salario aplicable a la recaída; que el artículo 74, fracción I, del Reglamento constituye un complemento del artículo 62, al desarrollar las hipótesis que de él derivan para facilitar su aplicación práctica; y que esa porción reglamentaria no excede los límites de la facultad reglamentaria ni modifica el contenido de la ley.</w:t>
      </w:r>
    </w:p>
    <w:p>
      <w:pPr>
        <w:spacing w:line="360" w:lineRule="auto"/>
        <w:jc w:val="both"/>
      </w:pPr>
      <w:r>
        <w:rPr>
          <w:rFonts w:ascii="Arial" w:hAnsi="Arial"/>
          <w:b w:val="0"/>
          <w:i w:val="0"/>
          <w:sz w:val="28"/>
        </w:rPr>
        <w:t>Finalmente, conforme al artículo 217 de la Ley de Amparo, la jurisprudencia que establecen los plenos regionales es obligatoria para todas las autoridades jurisdiccionales de su región, entre ellas el tribunal responsable, de modo que su inobservancia vicia de ilegalidad la sentencia reclamada.</w:t>
      </w:r>
    </w:p>
    <w:p>
      <w:pPr>
        <w:spacing w:line="360" w:lineRule="auto"/>
        <w:jc w:val="both"/>
      </w:pPr>
      <w:r>
        <w:rPr>
          <w:rFonts w:ascii="Arial" w:hAnsi="Arial"/>
          <w:b/>
          <w:sz w:val="28"/>
        </w:rPr>
        <w:t>IV. Aplicación al caso concreto y refutación de las consideraciones de la responsable.</w:t>
      </w:r>
    </w:p>
    <w:p>
      <w:pPr>
        <w:spacing w:line="360" w:lineRule="auto"/>
        <w:jc w:val="both"/>
      </w:pPr>
      <w:r>
        <w:rPr>
          <w:rFonts w:ascii="Arial" w:hAnsi="Arial"/>
          <w:b w:val="0"/>
          <w:i w:val="0"/>
          <w:sz w:val="28"/>
        </w:rPr>
        <w:t xml:space="preserve">La premisa menor está plenamente acreditada en autos. El Instituto reconoció a la persona quejosa un riesgo de trabajo ocurrido el </w:t>
      </w:r>
      <w:r>
        <w:rPr>
          <w:rFonts w:ascii="Arial" w:hAnsi="Arial"/>
          <w:b/>
          <w:i w:val="0"/>
          <w:sz w:val="28"/>
        </w:rPr>
        <w:t>[FECHA DEL RIESGO DE TRABAJO ORIGINAL]</w:t>
      </w:r>
      <w:r>
        <w:rPr>
          <w:rFonts w:ascii="Arial" w:hAnsi="Arial"/>
          <w:b w:val="0"/>
          <w:i w:val="0"/>
          <w:sz w:val="28"/>
        </w:rPr>
        <w:t xml:space="preserve">; después, mediante dictamen de </w:t>
      </w:r>
      <w:r>
        <w:rPr>
          <w:rFonts w:ascii="Arial" w:hAnsi="Arial"/>
          <w:b/>
          <w:i w:val="0"/>
          <w:sz w:val="28"/>
        </w:rPr>
        <w:t>[FECHA DEL DICTAMEN QUE DETERMINÓ PROCEDENTE LA RECAÍDA]</w:t>
      </w:r>
      <w:r>
        <w:rPr>
          <w:rFonts w:ascii="Arial" w:hAnsi="Arial"/>
          <w:b w:val="0"/>
          <w:i w:val="0"/>
          <w:sz w:val="28"/>
        </w:rPr>
        <w:t xml:space="preserve">, determinó procedente la recaída; y a esa segunda fecha la persona asegurada tenía registrado un salario base de cotización de </w:t>
      </w:r>
      <w:r>
        <w:rPr>
          <w:rFonts w:ascii="Arial" w:hAnsi="Arial"/>
          <w:b/>
          <w:i w:val="0"/>
          <w:sz w:val="28"/>
        </w:rPr>
        <w:t>[SALARIO REGISTRADO AL DETERMINARSE LA RECAÍDA]</w:t>
      </w:r>
      <w:r>
        <w:rPr>
          <w:rFonts w:ascii="Arial" w:hAnsi="Arial"/>
          <w:b w:val="0"/>
          <w:i w:val="0"/>
          <w:sz w:val="28"/>
        </w:rPr>
        <w:t xml:space="preserve">, superior a la cantidad de </w:t>
      </w:r>
      <w:r>
        <w:rPr>
          <w:rFonts w:ascii="Arial" w:hAnsi="Arial"/>
          <w:b/>
          <w:i w:val="0"/>
          <w:sz w:val="28"/>
        </w:rPr>
        <w:t>[SALARIO REGISTRADO AL OCURRIR EL RIESGO ORIGINAL]</w:t>
      </w:r>
      <w:r>
        <w:rPr>
          <w:rFonts w:ascii="Arial" w:hAnsi="Arial"/>
          <w:b w:val="0"/>
          <w:i w:val="0"/>
          <w:sz w:val="28"/>
        </w:rPr>
        <w:t xml:space="preserve"> vigente en la fecha del siniestro. Tales extremos constan en </w:t>
      </w:r>
      <w:r>
        <w:rPr>
          <w:rFonts w:ascii="Arial" w:hAnsi="Arial"/>
          <w:b/>
          <w:i w:val="0"/>
          <w:sz w:val="28"/>
        </w:rPr>
        <w:t>[PRUEBAS QUE ACREDITAN AMBOS SALARIOS]</w:t>
      </w:r>
      <w:r>
        <w:rPr>
          <w:rFonts w:ascii="Arial" w:hAnsi="Arial"/>
          <w:b w:val="0"/>
          <w:i w:val="0"/>
          <w:sz w:val="28"/>
        </w:rPr>
        <w:t>.</w:t>
      </w:r>
    </w:p>
    <w:p>
      <w:pPr>
        <w:spacing w:line="360" w:lineRule="auto"/>
        <w:jc w:val="both"/>
      </w:pPr>
      <w:r>
        <w:rPr>
          <w:rFonts w:ascii="Arial" w:hAnsi="Arial"/>
          <w:b w:val="0"/>
          <w:i w:val="0"/>
          <w:sz w:val="28"/>
        </w:rPr>
        <w:t>La subsunción es inmediata: si la prestación reclamada deriva de la recaída y no del siniestro original, su base salarial es la del momento en que el Instituto determinó la procedencia de aquélla, en términos del artículo 74, fracción I, del Reglamento y de la jurisprudencia transcrita. Al resolver lo contrario, la responsable consumó la violación de fondo anunciada, pues eligió una base salarial que la norma aplicable no autoriza.</w:t>
      </w:r>
    </w:p>
    <w:p>
      <w:pPr>
        <w:spacing w:line="360" w:lineRule="auto"/>
        <w:jc w:val="both"/>
      </w:pPr>
      <w:r>
        <w:rPr>
          <w:rFonts w:ascii="Arial" w:hAnsi="Arial"/>
          <w:b w:val="0"/>
          <w:i w:val="0"/>
          <w:sz w:val="28"/>
        </w:rPr>
        <w:t xml:space="preserve">Ahora bien, la consideración de la responsable, visible en el </w:t>
      </w:r>
      <w:r>
        <w:rPr>
          <w:rFonts w:ascii="Arial" w:hAnsi="Arial"/>
          <w:b/>
          <w:i w:val="0"/>
          <w:sz w:val="28"/>
        </w:rPr>
        <w:t>[CONSIDERANDO Y FOJA DE LA SENTENCIA RECLAMADA]</w:t>
      </w:r>
      <w:r>
        <w:rPr>
          <w:rFonts w:ascii="Arial" w:hAnsi="Arial"/>
          <w:b w:val="0"/>
          <w:i w:val="0"/>
          <w:sz w:val="28"/>
        </w:rPr>
        <w:t xml:space="preserve">, descansa en un razonamiento lógicamente viciado. Sostener que la recaída debe pagarse con el salario del riesgo original porque la recaída </w:t>
      </w:r>
      <w:r>
        <w:rPr>
          <w:rFonts w:ascii="Arial" w:hAnsi="Arial"/>
          <w:b w:val="0"/>
          <w:i/>
          <w:sz w:val="28"/>
        </w:rPr>
        <w:t>«deriva»</w:t>
      </w:r>
      <w:r>
        <w:rPr>
          <w:rFonts w:ascii="Arial" w:hAnsi="Arial"/>
          <w:b w:val="0"/>
          <w:i w:val="0"/>
          <w:sz w:val="28"/>
        </w:rPr>
        <w:t xml:space="preserve"> de aquel riesgo equivale a trasladar la regla de un supuesto a otro distinto por su mera semejanza u origen común.</w:t>
      </w:r>
    </w:p>
    <w:p>
      <w:pPr>
        <w:spacing w:line="360" w:lineRule="auto"/>
        <w:jc w:val="both"/>
      </w:pPr>
      <w:r>
        <w:rPr>
          <w:rFonts w:ascii="Arial" w:hAnsi="Arial"/>
          <w:b w:val="0"/>
          <w:i w:val="0"/>
          <w:sz w:val="28"/>
        </w:rPr>
        <w:t>La doctrina identifica ese defecto con nombre propio: la falsa analogía, variante de la generalización precipitada que induce a una conclusión falsa, pues consiste en atribuir una propiedad a un objeto sólo por el hecho de que se asemeja a otro que efectivamente la posee.</w:t>
      </w:r>
      <w:r>
        <w:rPr>
          <w:rFonts w:ascii="Arial" w:hAnsi="Arial"/>
          <w:vertAlign w:val="superscript"/>
        </w:rPr>
        <w:t>6</w:t>
      </w:r>
      <w:r>
        <w:rPr>
          <w:rFonts w:ascii="Arial" w:hAnsi="Arial"/>
          <w:b w:val="0"/>
          <w:i w:val="0"/>
          <w:sz w:val="28"/>
        </w:rPr>
        <w:t xml:space="preserve"> Eso hizo la responsable: atribuyó a la recaída la base salarial del riesgo original únicamente porque ambos comparten causa, sin reparar en que la norma les asigna consecuencias distintas.</w:t>
      </w:r>
    </w:p>
    <w:p>
      <w:pPr>
        <w:spacing w:line="360" w:lineRule="auto"/>
        <w:jc w:val="both"/>
      </w:pPr>
      <w:r>
        <w:rPr>
          <w:rFonts w:ascii="Arial" w:hAnsi="Arial"/>
          <w:b w:val="0"/>
          <w:i w:val="0"/>
          <w:sz w:val="28"/>
        </w:rPr>
        <w:t>La estructura del error es clara. La responsable parte de una premisa verdadera, que el riesgo original y la recaída están causalmente vinculados, y de ella extrae una conclusión que no se sigue: que ambos comparten idéntico régimen salarial. La vinculación causal no borra que se trata de hechos generadores distintos, ocurridos en momentos distintos y con salarios registrados distintos; y es justamente esa diferencia la que el artículo 74, fracción I, del Reglamento toma en cuenta. El razonamiento correcto exige atender al supuesto normativo específico de la recaída, no a la semejanza superficial entre los supuestos.</w:t>
      </w:r>
    </w:p>
    <w:p>
      <w:pPr>
        <w:spacing w:line="360" w:lineRule="auto"/>
        <w:jc w:val="both"/>
      </w:pPr>
      <w:r>
        <w:rPr>
          <w:rFonts w:ascii="Arial" w:hAnsi="Arial"/>
          <w:b w:val="0"/>
          <w:i w:val="0"/>
          <w:sz w:val="28"/>
        </w:rPr>
        <w:t>Si la responsable pretendiera justificar su decisión afirmando que aplicar el Reglamento implicaría desbordar la ley, la objeción está resuelta por el propio Pleno Regional: el artículo 74, fracción I, no excede los límites de la facultad reglamentaria ni modifica la Ley del Seguro Social, sino que únicamente desarrolla y complementa el artículo 62 para lograr su adecuada aplicación. A ello se suma que la inobservancia de la jurisprudencia obligatoria constituye, por sí misma, una violación al artículo 217 de la Ley de Amparo que priva de sustento a la sentencia reclamada.</w:t>
      </w:r>
    </w:p>
    <w:p>
      <w:pPr>
        <w:spacing w:line="360" w:lineRule="auto"/>
        <w:jc w:val="both"/>
      </w:pPr>
      <w:r>
        <w:rPr>
          <w:rFonts w:ascii="Arial" w:hAnsi="Arial"/>
          <w:b w:val="0"/>
          <w:i w:val="0"/>
          <w:sz w:val="28"/>
        </w:rPr>
        <w:t>La trascendencia del vicio al resultado del fallo es evidente: de haberse aplicado la base salarial correcta, la condena habría comprendido las diferencias entre ambas cantidades por todo el periodo en que se cubrió la prestación, por lo que el error no es inocuo ni meramente formal, sino determinante del sentido y de la cuantía de lo resuelto.</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Queda demostrado que la sentencia reclamada aplicó de manera inexacta los artículos 58, fracción I, y 62 de la Ley del Seguro Social, dejó de observar el artículo 74, fracción I, de su Reglamento en materia de afiliación y desacató la jurisprudencia obligatoria PR.P.T.CN. J/12 L (12a.), registro digital 2032532, todo lo cual se tradujo en una cuantificación menor a la debida de la </w:t>
      </w:r>
      <w:r>
        <w:rPr>
          <w:rFonts w:ascii="Arial" w:hAnsi="Arial"/>
          <w:b/>
          <w:i w:val="0"/>
          <w:sz w:val="28"/>
        </w:rPr>
        <w:t>[PRESTACIÓN EN DINERO RECLAMADA]</w:t>
      </w:r>
      <w:r>
        <w:rPr>
          <w:rFonts w:ascii="Arial" w:hAnsi="Arial"/>
          <w:b w:val="0"/>
          <w:i w:val="0"/>
          <w:sz w:val="28"/>
        </w:rPr>
        <w:t xml:space="preserve"> y, por tanto, en una violación de las garantías de legalidad y seguridad jurídica de la persona quejosa.</w:t>
      </w:r>
    </w:p>
    <w:p>
      <w:pPr>
        <w:spacing w:line="360" w:lineRule="auto"/>
        <w:jc w:val="both"/>
      </w:pPr>
      <w:r>
        <w:rPr>
          <w:rFonts w:ascii="Arial" w:hAnsi="Arial"/>
          <w:b w:val="0"/>
          <w:i w:val="0"/>
          <w:sz w:val="28"/>
        </w:rPr>
        <w:t xml:space="preserve">Por lo expuesto, se solicita atentamente a ese Tribunal Colegiado conceder el amparo y protección de la Justicia Federal para el efecto de que la responsable deje insubsistente la sentencia reclamada en la parte conducente y dicte otra en la que, con observancia de la jurisprudencia invocada, cuantifique las prestaciones en dinero derivadas de la recaída con el salario base de cotización registrado al determinarse su procedencia, es decir, la cantidad de </w:t>
      </w:r>
      <w:r>
        <w:rPr>
          <w:rFonts w:ascii="Arial" w:hAnsi="Arial"/>
          <w:b/>
          <w:i w:val="0"/>
          <w:sz w:val="28"/>
        </w:rPr>
        <w:t>[SALARIO REGISTRADO AL DETERMINARSE LA RECAÍDA]</w:t>
      </w:r>
      <w:r>
        <w:rPr>
          <w:rFonts w:ascii="Arial" w:hAnsi="Arial"/>
          <w:b w:val="0"/>
          <w:i w:val="0"/>
          <w:sz w:val="28"/>
        </w:rPr>
        <w:t xml:space="preserve">, y condene al pago de las diferencias por el </w:t>
      </w:r>
      <w:r>
        <w:rPr>
          <w:rFonts w:ascii="Arial" w:hAnsi="Arial"/>
          <w:b/>
          <w:i w:val="0"/>
          <w:sz w:val="28"/>
        </w:rPr>
        <w:t>[PERIODO POR EL QUE SE RECLAMAN DIFERENCIAS]</w:t>
      </w:r>
      <w:r>
        <w:rPr>
          <w:rFonts w:ascii="Arial" w:hAnsi="Arial"/>
          <w:b w:val="0"/>
          <w:i w:val="0"/>
          <w:sz w:val="28"/>
        </w:rPr>
        <w:t>.</w:t>
      </w:r>
    </w:p>
    <w:p>
      <w:pPr>
        <w:spacing w:line="360" w:lineRule="auto"/>
        <w:jc w:val="both"/>
      </w:pPr>
      <w:r>
        <w:rPr>
          <w:rFonts w:ascii="Arial" w:hAnsi="Arial"/>
          <w:b w:val="0"/>
          <w:i w:val="0"/>
          <w:sz w:val="28"/>
        </w:rPr>
        <w:t xml:space="preserve">Este concepto de violación se plantea como el de mayor beneficio, pues su acogimiento conduce a la restitución económica completa de la persona quejosa sin necesidad de reponer el procedimiento. La oportunidad de la demanda se computa a partir de la </w:t>
      </w:r>
      <w:r>
        <w:rPr>
          <w:rFonts w:ascii="Arial" w:hAnsi="Arial"/>
          <w:b/>
          <w:i w:val="0"/>
          <w:sz w:val="28"/>
        </w:rPr>
        <w:t>[FECHA DE NOTIFICACIÓN DE LA SENTENCIA RECLAMADA]</w:t>
      </w:r>
      <w:r>
        <w:rPr>
          <w:rFonts w:ascii="Arial" w:hAnsi="Arial"/>
          <w:b w:val="0"/>
          <w:i w:val="0"/>
          <w:sz w:val="28"/>
        </w:rPr>
        <w:t>, dentro del plazo que la Ley de Amparo establece para la promoción del amparo directo.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894.</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573.</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176.</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1670.</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 p. 107.</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39.</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