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AMPARO DIRECTO CONTRA EL CESE POR CONCLUSIÓN DE LA ADMINISTRACIÓN MUNICIPAL</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Primero lee completa la sentencia o el laudo reclamado y ubica el considerando exacto donde la autoridad aplicó la regla de terminación por conclusión de la administración: ese pasaje es el blanco del concepto de violación. Después reúne el nombramiento, los recibos de pago y toda prueba de las funciones reales de la persona trabajadora, y confróntalos con el catálogo de puestos de primer nivel. Con ese material a la vista, sustituye los campos editables, verifica que cada afirmación fáctica tenga respaldo en autos y elimina los párrafos que no correspondan a tu caso.</w:t>
      </w:r>
    </w:p>
    <w:p>
      <w:pPr>
        <w:spacing w:line="360" w:lineRule="auto"/>
        <w:jc w:val="both"/>
      </w:pPr>
      <w:r>
        <w:rPr>
          <w:rFonts w:ascii="Arial" w:hAnsi="Arial"/>
          <w:b/>
          <w:i w:val="0"/>
          <w:sz w:val="24"/>
        </w:rPr>
        <w:t>[TRIBUNAL RESPONSABLE]</w:t>
      </w:r>
      <w:r>
        <w:rPr>
          <w:rFonts w:ascii="Arial" w:hAnsi="Arial"/>
          <w:b w:val="0"/>
          <w:i w:val="0"/>
          <w:sz w:val="24"/>
        </w:rPr>
        <w:t>: órgano jurisdiccional que dictó la sentencia o laudo reclamado.</w:t>
      </w:r>
    </w:p>
    <w:p>
      <w:pPr>
        <w:spacing w:line="360" w:lineRule="auto"/>
        <w:jc w:val="both"/>
      </w:pPr>
      <w:r>
        <w:rPr>
          <w:rFonts w:ascii="Arial" w:hAnsi="Arial"/>
          <w:b/>
          <w:i w:val="0"/>
          <w:sz w:val="24"/>
        </w:rPr>
        <w:t>[NÚMERO DE EXPEDIENTE LABORAL]</w:t>
      </w:r>
      <w:r>
        <w:rPr>
          <w:rFonts w:ascii="Arial" w:hAnsi="Arial"/>
          <w:b w:val="0"/>
          <w:i w:val="0"/>
          <w:sz w:val="24"/>
        </w:rPr>
        <w:t>: expediente del juicio laboral burocrático de origen.</w:t>
      </w:r>
    </w:p>
    <w:p>
      <w:pPr>
        <w:spacing w:line="360" w:lineRule="auto"/>
        <w:jc w:val="both"/>
      </w:pPr>
      <w:r>
        <w:rPr>
          <w:rFonts w:ascii="Arial" w:hAnsi="Arial"/>
          <w:b/>
          <w:i w:val="0"/>
          <w:sz w:val="24"/>
        </w:rPr>
        <w:t>[AYUNTAMIENTO DEMANDADO]</w:t>
      </w:r>
      <w:r>
        <w:rPr>
          <w:rFonts w:ascii="Arial" w:hAnsi="Arial"/>
          <w:b w:val="0"/>
          <w:i w:val="0"/>
          <w:sz w:val="24"/>
        </w:rPr>
        <w:t>: ayuntamiento o entidad municipal que figuró como demandada.</w:t>
      </w:r>
    </w:p>
    <w:p>
      <w:pPr>
        <w:spacing w:line="360" w:lineRule="auto"/>
        <w:jc w:val="both"/>
      </w:pPr>
      <w:r>
        <w:rPr>
          <w:rFonts w:ascii="Arial" w:hAnsi="Arial"/>
          <w:b/>
          <w:i w:val="0"/>
          <w:sz w:val="24"/>
        </w:rPr>
        <w:t>[PUESTO DESEMPEÑADO]</w:t>
      </w:r>
      <w:r>
        <w:rPr>
          <w:rFonts w:ascii="Arial" w:hAnsi="Arial"/>
          <w:b w:val="0"/>
          <w:i w:val="0"/>
          <w:sz w:val="24"/>
        </w:rPr>
        <w:t>: denominación exacta de la plaza según el nombramiento o la nómina.</w:t>
      </w:r>
    </w:p>
    <w:p>
      <w:pPr>
        <w:spacing w:line="360" w:lineRule="auto"/>
        <w:jc w:val="both"/>
      </w:pPr>
      <w:r>
        <w:rPr>
          <w:rFonts w:ascii="Arial" w:hAnsi="Arial"/>
          <w:b/>
          <w:i w:val="0"/>
          <w:sz w:val="24"/>
        </w:rPr>
        <w:t>[PRESTACIONES RECLAMADAS]</w:t>
      </w:r>
      <w:r>
        <w:rPr>
          <w:rFonts w:ascii="Arial" w:hAnsi="Arial"/>
          <w:b w:val="0"/>
          <w:i w:val="0"/>
          <w:sz w:val="24"/>
        </w:rPr>
        <w:t>: reinstalación, indemnización, salarios vencidos u otras prestaciones de la demanda.</w:t>
      </w:r>
    </w:p>
    <w:p>
      <w:pPr>
        <w:spacing w:line="360" w:lineRule="auto"/>
        <w:jc w:val="both"/>
      </w:pPr>
      <w:r>
        <w:rPr>
          <w:rFonts w:ascii="Arial" w:hAnsi="Arial"/>
          <w:b/>
          <w:i w:val="0"/>
          <w:sz w:val="24"/>
        </w:rPr>
        <w:t>[FECHA DEL LAUDO O SENTENCIA]</w:t>
      </w:r>
      <w:r>
        <w:rPr>
          <w:rFonts w:ascii="Arial" w:hAnsi="Arial"/>
          <w:b w:val="0"/>
          <w:i w:val="0"/>
          <w:sz w:val="24"/>
        </w:rPr>
        <w:t>: fecha de la resolución que se reclama en amparo.</w:t>
      </w:r>
    </w:p>
    <w:p>
      <w:pPr>
        <w:spacing w:line="360" w:lineRule="auto"/>
        <w:jc w:val="both"/>
      </w:pPr>
      <w:r>
        <w:rPr>
          <w:rFonts w:ascii="Arial" w:hAnsi="Arial"/>
          <w:b/>
          <w:i w:val="0"/>
          <w:sz w:val="24"/>
        </w:rPr>
        <w:t>[NOMBRE DE LA PERSONA QUEJOSA]</w:t>
      </w:r>
      <w:r>
        <w:rPr>
          <w:rFonts w:ascii="Arial" w:hAnsi="Arial"/>
          <w:b w:val="0"/>
          <w:i w:val="0"/>
          <w:sz w:val="24"/>
        </w:rPr>
        <w:t>: nombre completo de quien promueve el amparo.</w:t>
      </w:r>
    </w:p>
    <w:p>
      <w:pPr>
        <w:spacing w:line="360" w:lineRule="auto"/>
        <w:jc w:val="both"/>
      </w:pPr>
      <w:r>
        <w:rPr>
          <w:rFonts w:ascii="Arial" w:hAnsi="Arial"/>
          <w:b/>
          <w:i w:val="0"/>
          <w:sz w:val="24"/>
        </w:rPr>
        <w:t>[MUNICIPIO]</w:t>
      </w:r>
      <w:r>
        <w:rPr>
          <w:rFonts w:ascii="Arial" w:hAnsi="Arial"/>
          <w:b w:val="0"/>
          <w:i w:val="0"/>
          <w:sz w:val="24"/>
        </w:rPr>
        <w:t>: municipio zacatecano al que sirvió la persona trabajadora.</w:t>
      </w:r>
    </w:p>
    <w:p>
      <w:pPr>
        <w:spacing w:line="360" w:lineRule="auto"/>
        <w:jc w:val="both"/>
      </w:pPr>
      <w:r>
        <w:rPr>
          <w:rFonts w:ascii="Arial" w:hAnsi="Arial"/>
          <w:b/>
          <w:i w:val="0"/>
          <w:sz w:val="24"/>
        </w:rPr>
        <w:t>[CONSIDERANDO Y FOJA]</w:t>
      </w:r>
      <w:r>
        <w:rPr>
          <w:rFonts w:ascii="Arial" w:hAnsi="Arial"/>
          <w:b w:val="0"/>
          <w:i w:val="0"/>
          <w:sz w:val="24"/>
        </w:rPr>
        <w:t>: ubicación precisa de la consideración que se combate.</w:t>
      </w:r>
    </w:p>
    <w:p>
      <w:pPr>
        <w:spacing w:line="360" w:lineRule="auto"/>
        <w:jc w:val="both"/>
      </w:pPr>
      <w:r>
        <w:rPr>
          <w:rFonts w:ascii="Arial" w:hAnsi="Arial"/>
          <w:b/>
          <w:i w:val="0"/>
          <w:sz w:val="24"/>
        </w:rPr>
        <w:t>[FECHA DE CONCLUSIÓN DE LA ADMINISTRACIÓN]</w:t>
      </w:r>
      <w:r>
        <w:rPr>
          <w:rFonts w:ascii="Arial" w:hAnsi="Arial"/>
          <w:b w:val="0"/>
          <w:i w:val="0"/>
          <w:sz w:val="24"/>
        </w:rPr>
        <w:t>: fecha en que terminó el periodo de la administración municipal.</w:t>
      </w:r>
    </w:p>
    <w:p>
      <w:pPr>
        <w:spacing w:line="360" w:lineRule="auto"/>
        <w:jc w:val="both"/>
      </w:pPr>
      <w:r>
        <w:rPr>
          <w:rFonts w:ascii="Arial" w:hAnsi="Arial"/>
          <w:b/>
          <w:i w:val="0"/>
          <w:sz w:val="24"/>
        </w:rPr>
        <w:t>[FECHA DE INGRESO]</w:t>
      </w:r>
      <w:r>
        <w:rPr>
          <w:rFonts w:ascii="Arial" w:hAnsi="Arial"/>
          <w:b w:val="0"/>
          <w:i w:val="0"/>
          <w:sz w:val="24"/>
        </w:rPr>
        <w:t>: fecha en que la persona quejosa comenzó a laborar para el municipio.</w:t>
      </w:r>
    </w:p>
    <w:p>
      <w:pPr>
        <w:spacing w:line="360" w:lineRule="auto"/>
        <w:jc w:val="both"/>
      </w:pPr>
      <w:r>
        <w:rPr>
          <w:rFonts w:ascii="Arial" w:hAnsi="Arial"/>
          <w:b/>
          <w:i w:val="0"/>
          <w:sz w:val="24"/>
        </w:rPr>
        <w:t>[FUNCIONES REALMENTE DESEMPEÑADAS]</w:t>
      </w:r>
      <w:r>
        <w:rPr>
          <w:rFonts w:ascii="Arial" w:hAnsi="Arial"/>
          <w:b w:val="0"/>
          <w:i w:val="0"/>
          <w:sz w:val="24"/>
        </w:rPr>
        <w:t>: descripción de las labores cotidianas acreditadas en autos.</w:t>
      </w:r>
    </w:p>
    <w:p>
      <w:pPr>
        <w:spacing w:line="360" w:lineRule="auto"/>
        <w:jc w:val="both"/>
      </w:pPr>
      <w:r>
        <w:rPr>
          <w:rFonts w:ascii="Arial" w:hAnsi="Arial"/>
          <w:b/>
          <w:i w:val="0"/>
          <w:sz w:val="24"/>
        </w:rPr>
        <w:t>[PRUEBAS QUE ACREDITAN LAS FUNCIONES]</w:t>
      </w:r>
      <w:r>
        <w:rPr>
          <w:rFonts w:ascii="Arial" w:hAnsi="Arial"/>
          <w:b w:val="0"/>
          <w:i w:val="0"/>
          <w:sz w:val="24"/>
        </w:rPr>
        <w:t>: constancias concretas que demuestran esas funciones (documentales, testimoniales, organigrama).</w:t>
      </w:r>
    </w:p>
    <w:p/>
    <w:p>
      <w:pPr>
        <w:spacing w:line="360" w:lineRule="auto"/>
        <w:jc w:val="both"/>
      </w:pPr>
      <w:r>
        <w:rPr>
          <w:rFonts w:ascii="Arial" w:hAnsi="Arial"/>
          <w:b/>
          <w:sz w:val="28"/>
        </w:rPr>
        <w:t>ÚNICO CONCEPTO DE VIOLACIÓN. Indebida motivación de la premisa fáctica de la sentencia reclamada: la autoridad responsable aplicó la regla jurisprudencial de terminación de las relaciones laborales de primer nivel de los municipios del Estado de Zacatecas a un puesto que no se ubica en el supuesto del artículo 60, fracción I, inciso c), de la Ley Orgánica del Municipio del Estado de Zacatecas, en violación de los artículos 14, 16 y 123 de la Constitución Política de los Estados Unidos Mexicanos.</w:t>
      </w:r>
    </w:p>
    <w:p>
      <w:pPr>
        <w:spacing w:line="360" w:lineRule="auto"/>
        <w:jc w:val="both"/>
      </w:pPr>
      <w:r>
        <w:rPr>
          <w:rFonts w:ascii="Arial" w:hAnsi="Arial"/>
          <w:b/>
          <w:sz w:val="28"/>
        </w:rPr>
        <w:t>I. Síntesis del concepto.</w:t>
      </w:r>
    </w:p>
    <w:p>
      <w:pPr>
        <w:spacing w:line="360" w:lineRule="auto"/>
        <w:jc w:val="both"/>
      </w:pPr>
      <w:r>
        <w:rPr>
          <w:rFonts w:ascii="Arial" w:hAnsi="Arial"/>
          <w:b w:val="0"/>
          <w:i w:val="0"/>
          <w:sz w:val="28"/>
        </w:rPr>
        <w:t xml:space="preserve">En este apartado se demostrará que la sentencia dictada por el </w:t>
      </w:r>
      <w:r>
        <w:rPr>
          <w:rFonts w:ascii="Arial" w:hAnsi="Arial"/>
          <w:b/>
          <w:i w:val="0"/>
          <w:sz w:val="28"/>
        </w:rPr>
        <w:t>[TRIBUNAL RESPONSABLE]</w:t>
      </w:r>
      <w:r>
        <w:rPr>
          <w:rFonts w:ascii="Arial" w:hAnsi="Arial"/>
          <w:b w:val="0"/>
          <w:i w:val="0"/>
          <w:sz w:val="28"/>
        </w:rPr>
        <w:t xml:space="preserve"> en el expediente </w:t>
      </w:r>
      <w:r>
        <w:rPr>
          <w:rFonts w:ascii="Arial" w:hAnsi="Arial"/>
          <w:b/>
          <w:i w:val="0"/>
          <w:sz w:val="28"/>
        </w:rPr>
        <w:t>[NÚMERO DE EXPEDIENTE LABORAL]</w:t>
      </w:r>
      <w:r>
        <w:rPr>
          <w:rFonts w:ascii="Arial" w:hAnsi="Arial"/>
          <w:b w:val="0"/>
          <w:i w:val="0"/>
          <w:sz w:val="28"/>
        </w:rPr>
        <w:t xml:space="preserve"> absolvió indebidamente al </w:t>
      </w:r>
      <w:r>
        <w:rPr>
          <w:rFonts w:ascii="Arial" w:hAnsi="Arial"/>
          <w:b/>
          <w:i w:val="0"/>
          <w:sz w:val="28"/>
        </w:rPr>
        <w:t>[AYUNTAMIENTO DEMANDADO]</w:t>
      </w:r>
      <w:r>
        <w:rPr>
          <w:rFonts w:ascii="Arial" w:hAnsi="Arial"/>
          <w:b w:val="0"/>
          <w:i w:val="0"/>
          <w:sz w:val="28"/>
        </w:rPr>
        <w:t xml:space="preserve">, pues tuvo por terminada la relación laboral de la persona quejosa bajo la premisa de que ocupaba un puesto de primer nivel cuyo nombramiento concluye con la administración municipal, sin que el puesto de </w:t>
      </w:r>
      <w:r>
        <w:rPr>
          <w:rFonts w:ascii="Arial" w:hAnsi="Arial"/>
          <w:b/>
          <w:i w:val="0"/>
          <w:sz w:val="28"/>
        </w:rPr>
        <w:t>[PUESTO DESEMPEÑADO]</w:t>
      </w:r>
      <w:r>
        <w:rPr>
          <w:rFonts w:ascii="Arial" w:hAnsi="Arial"/>
          <w:b w:val="0"/>
          <w:i w:val="0"/>
          <w:sz w:val="28"/>
        </w:rPr>
        <w:t xml:space="preserve"> figure en el catálogo legal que sostiene esa regla y sin prueba alguna de que sus funciones correspondieran a ese rango.</w:t>
      </w:r>
    </w:p>
    <w:p>
      <w:pPr>
        <w:spacing w:line="360" w:lineRule="auto"/>
        <w:jc w:val="both"/>
      </w:pPr>
      <w:r>
        <w:rPr>
          <w:rFonts w:ascii="Arial" w:hAnsi="Arial"/>
          <w:b w:val="0"/>
          <w:i w:val="0"/>
          <w:sz w:val="28"/>
        </w:rPr>
        <w:t xml:space="preserve">La consecuencia de ese error no es menor: con una sola calificación equivocada, la responsable dejó de estudiar la acción principal y privó a la persona quejosa de toda posibilidad de obtener </w:t>
      </w:r>
      <w:r>
        <w:rPr>
          <w:rFonts w:ascii="Arial" w:hAnsi="Arial"/>
          <w:b/>
          <w:i w:val="0"/>
          <w:sz w:val="28"/>
        </w:rPr>
        <w:t>[PRESTACIONES RECLAMADAS]</w:t>
      </w:r>
      <w:r>
        <w:rPr>
          <w:rFonts w:ascii="Arial" w:hAnsi="Arial"/>
          <w:b w:val="0"/>
          <w:i w:val="0"/>
          <w:sz w:val="28"/>
        </w:rPr>
        <w:t>. Se demostrará que la regla invocada es válida pero ajena al caso, que su extensión indebida configura las falacias de mala aplicación de una regla y de conclusión desmesurada, y que lo procedente es conceder el amparo para que se dicte una nueva resolución con libertad de jurisdicción.</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El acto reclamado es la sentencia definitiva de </w:t>
      </w:r>
      <w:r>
        <w:rPr>
          <w:rFonts w:ascii="Arial" w:hAnsi="Arial"/>
          <w:b/>
          <w:i w:val="0"/>
          <w:sz w:val="28"/>
        </w:rPr>
        <w:t>[FECHA DEL LAUDO O SENTENCIA]</w:t>
      </w:r>
      <w:r>
        <w:rPr>
          <w:rFonts w:ascii="Arial" w:hAnsi="Arial"/>
          <w:b w:val="0"/>
          <w:i w:val="0"/>
          <w:sz w:val="28"/>
        </w:rPr>
        <w:t xml:space="preserve">, dictada en el juicio laboral burocrático promovido por </w:t>
      </w:r>
      <w:r>
        <w:rPr>
          <w:rFonts w:ascii="Arial" w:hAnsi="Arial"/>
          <w:b/>
          <w:i w:val="0"/>
          <w:sz w:val="28"/>
        </w:rPr>
        <w:t>[NOMBRE DE LA PERSONA QUEJOSA]</w:t>
      </w:r>
      <w:r>
        <w:rPr>
          <w:rFonts w:ascii="Arial" w:hAnsi="Arial"/>
          <w:b w:val="0"/>
          <w:i w:val="0"/>
          <w:sz w:val="28"/>
        </w:rPr>
        <w:t xml:space="preserve"> contra el </w:t>
      </w:r>
      <w:r>
        <w:rPr>
          <w:rFonts w:ascii="Arial" w:hAnsi="Arial"/>
          <w:b/>
          <w:i w:val="0"/>
          <w:sz w:val="28"/>
        </w:rPr>
        <w:t>[AYUNTAMIENTO DEMANDADO]</w:t>
      </w:r>
      <w:r>
        <w:rPr>
          <w:rFonts w:ascii="Arial" w:hAnsi="Arial"/>
          <w:b w:val="0"/>
          <w:i w:val="0"/>
          <w:sz w:val="28"/>
        </w:rPr>
        <w:t xml:space="preserve">, del municipio de </w:t>
      </w:r>
      <w:r>
        <w:rPr>
          <w:rFonts w:ascii="Arial" w:hAnsi="Arial"/>
          <w:b/>
          <w:i w:val="0"/>
          <w:sz w:val="28"/>
        </w:rPr>
        <w:t>[MUNICIPIO]</w:t>
      </w:r>
      <w:r>
        <w:rPr>
          <w:rFonts w:ascii="Arial" w:hAnsi="Arial"/>
          <w:b w:val="0"/>
          <w:i w:val="0"/>
          <w:sz w:val="28"/>
        </w:rPr>
        <w:t xml:space="preserve">. La consideración que se combate se localiza en </w:t>
      </w:r>
      <w:r>
        <w:rPr>
          <w:rFonts w:ascii="Arial" w:hAnsi="Arial"/>
          <w:b/>
          <w:i w:val="0"/>
          <w:sz w:val="28"/>
        </w:rPr>
        <w:t>[CONSIDERANDO Y FOJA]</w:t>
      </w:r>
      <w:r>
        <w:rPr>
          <w:rFonts w:ascii="Arial" w:hAnsi="Arial"/>
          <w:b w:val="0"/>
          <w:i w:val="0"/>
          <w:sz w:val="28"/>
        </w:rPr>
        <w:t xml:space="preserve">, donde la responsable sostuvo que la relación de trabajo terminó de pleno derecho al concluir el periodo de la administración municipal, el </w:t>
      </w:r>
      <w:r>
        <w:rPr>
          <w:rFonts w:ascii="Arial" w:hAnsi="Arial"/>
          <w:b/>
          <w:i w:val="0"/>
          <w:sz w:val="28"/>
        </w:rPr>
        <w:t>[FECHA DE CONCLUSIÓN DE LA ADMINISTRACIÓN]</w:t>
      </w:r>
      <w:r>
        <w:rPr>
          <w:rFonts w:ascii="Arial" w:hAnsi="Arial"/>
          <w:b w:val="0"/>
          <w:i w:val="0"/>
          <w:sz w:val="28"/>
        </w:rPr>
        <w:t>, por tratarse de un puesto de confianza de primer nivel.</w:t>
      </w:r>
    </w:p>
    <w:p>
      <w:pPr>
        <w:spacing w:line="360" w:lineRule="auto"/>
        <w:jc w:val="both"/>
      </w:pPr>
      <w:r>
        <w:rPr>
          <w:rFonts w:ascii="Arial" w:hAnsi="Arial"/>
          <w:b w:val="0"/>
          <w:i w:val="0"/>
          <w:sz w:val="28"/>
        </w:rPr>
        <w:t>Para arribar a esa conclusión, la responsable invocó la jurisprudencia del Segundo Tribunal Colegiado del Vigésimo Tercer Circuito, de clave XXIII.2o. J/1 L (12a.), registro digital 2032530, publicada en el Semanario Judicial de la Federación el viernes 21 de agosto de 2026 y de aplicación obligatoria a partir del lunes 24 de agosto de 2026, cuyo rubro es el siguiente:</w:t>
      </w:r>
    </w:p>
    <w:p>
      <w:pPr>
        <w:spacing w:line="360" w:lineRule="auto"/>
        <w:jc w:val="both"/>
      </w:pPr>
      <w:r>
        <w:rPr>
          <w:rFonts w:ascii="Arial" w:hAnsi="Arial"/>
          <w:b w:val="0"/>
          <w:i/>
          <w:sz w:val="28"/>
        </w:rPr>
        <w:t>«PERSONAS TRABAJADORAS EN PUESTOS DE PRIMER NIVEL DE LOS MUNICIPIOS DEL ESTADO DE ZACATECAS. CARECEN DE NOMBRAMIENTO DEFINITIVO, POR LO QUE SU RELACIÓN LABORAL TERMINA AL CONCLUIR EL PERIODO DE LA ADMINISTRACIÓN CORRESPONDIENTE.»</w:t>
      </w:r>
    </w:p>
    <w:p>
      <w:pPr>
        <w:spacing w:line="360" w:lineRule="auto"/>
        <w:jc w:val="both"/>
      </w:pPr>
      <w:r>
        <w:rPr>
          <w:rFonts w:ascii="Arial" w:hAnsi="Arial"/>
          <w:b w:val="0"/>
          <w:i w:val="0"/>
          <w:sz w:val="28"/>
        </w:rPr>
        <w:t xml:space="preserve">Su criterio jurídico es del tenor literal siguiente: </w:t>
      </w:r>
      <w:r>
        <w:rPr>
          <w:rFonts w:ascii="Arial" w:hAnsi="Arial"/>
          <w:b w:val="0"/>
          <w:i/>
          <w:sz w:val="28"/>
        </w:rPr>
        <w:t>«Las personas trabajadoras en puestos de primer nivel de los Municipios del Estado de Zacatecas carecen de nombramiento definitivo, por lo que su relación laboral termina al concluir el periodo de la administración correspondiente.»</w:t>
      </w:r>
    </w:p>
    <w:p>
      <w:pPr>
        <w:spacing w:line="360" w:lineRule="auto"/>
        <w:jc w:val="both"/>
      </w:pPr>
      <w:r>
        <w:rPr>
          <w:rFonts w:ascii="Arial" w:hAnsi="Arial"/>
          <w:b w:val="0"/>
          <w:i w:val="0"/>
          <w:sz w:val="28"/>
        </w:rPr>
        <w:t>Este concepto de violación no discute la validez de ese criterio, que resulta obligatorio en términos de la Ley de Amparo; lo que se demuestra es algo distinto: que su supuesto de aplicación está delimitado por el propio tribunal colegiado, pues la justificación de la jurisprudencia descansa en el artículo 60, fracción I, inciso c), de la Ley Orgánica del Municipio del Estado de Zacatecas, referido al nombramiento de las personas titulares de la Secretaría de Gobierno Municipal, de la Tesorería y de las direcciones de las dependencias de la administración pública municipal, centralizada y descentralizada.</w:t>
      </w:r>
    </w:p>
    <w:p>
      <w:pPr>
        <w:spacing w:line="360" w:lineRule="auto"/>
        <w:jc w:val="both"/>
      </w:pPr>
      <w:r>
        <w:rPr>
          <w:rFonts w:ascii="Arial" w:hAnsi="Arial"/>
          <w:b w:val="0"/>
          <w:i w:val="0"/>
          <w:sz w:val="28"/>
        </w:rPr>
        <w:t>El perjuicio es directo: al subsumir indebidamente el puesto de la persona quejosa en un catálogo que no lo contempla, la responsable violó la garantía de legalidad y el deber de motivación que imponen los artículos 14 y 16 constitucionales, así como el derecho a la estabilidad en el empleo que deriva del artículo 123 de la propia Constitución, y resolvió el juicio sin analizar la acción efectivamente ejercida.</w:t>
      </w:r>
    </w:p>
    <w:p>
      <w:pPr>
        <w:spacing w:line="360" w:lineRule="auto"/>
        <w:jc w:val="both"/>
      </w:pPr>
      <w:r>
        <w:rPr>
          <w:rFonts w:ascii="Arial" w:hAnsi="Arial"/>
          <w:b/>
          <w:sz w:val="28"/>
        </w:rPr>
        <w:t>III. Desarrollo doctrinal: la premisa mayor que la responsable desatendió.</w:t>
      </w:r>
    </w:p>
    <w:p>
      <w:pPr>
        <w:spacing w:line="360" w:lineRule="auto"/>
        <w:jc w:val="both"/>
      </w:pPr>
      <w:r>
        <w:rPr>
          <w:rFonts w:ascii="Arial" w:hAnsi="Arial"/>
          <w:b w:val="0"/>
          <w:i w:val="0"/>
          <w:sz w:val="28"/>
        </w:rPr>
        <w:t>El punto de partida es el derecho a la estabilidad laboral, entendido por la doctrina como el derecho a no ser privado del trabajo de manera injusta, del que se sigue que la limitación temporal de las relaciones de trabajo constituye una excepción que debe estar debidamente justificada.</w:t>
      </w:r>
      <w:r>
        <w:rPr>
          <w:rFonts w:ascii="Arial" w:hAnsi="Arial"/>
          <w:vertAlign w:val="superscript"/>
        </w:rPr>
        <w:t>1</w:t>
      </w:r>
      <w:r>
        <w:rPr>
          <w:rFonts w:ascii="Arial" w:hAnsi="Arial"/>
          <w:b w:val="0"/>
          <w:i w:val="0"/>
          <w:sz w:val="28"/>
        </w:rPr>
        <w:t xml:space="preserve"> Si la permanencia es la regla y la terminación anticipada la excepción, toda norma o criterio que autorice esta última es de interpretación estricta y no admite aplicaciones extensivas.</w:t>
      </w:r>
    </w:p>
    <w:p>
      <w:pPr>
        <w:spacing w:line="360" w:lineRule="auto"/>
        <w:jc w:val="both"/>
      </w:pPr>
      <w:r>
        <w:rPr>
          <w:rFonts w:ascii="Arial" w:hAnsi="Arial"/>
          <w:b w:val="0"/>
          <w:i w:val="0"/>
          <w:sz w:val="28"/>
        </w:rPr>
        <w:t>Es verdad que el régimen constitucional admite una restricción: conforme al artículo 123, apartado B, fracción XIV, de la Constitución, las personas trabajadoras de confianza carecen del derecho a la estabilidad en el empleo. Pero justamente por tratarse de una restricción a un derecho, su operatividad exige que se acredite el presupuesto que la actualiza; tratándose de la jurisprudencia invocada, que el puesto sea alguno de los de primer nivel que el legislador municipal enumeró.</w:t>
      </w:r>
    </w:p>
    <w:p>
      <w:pPr>
        <w:spacing w:line="360" w:lineRule="auto"/>
        <w:jc w:val="both"/>
      </w:pPr>
      <w:r>
        <w:rPr>
          <w:rFonts w:ascii="Arial" w:hAnsi="Arial"/>
          <w:b w:val="0"/>
          <w:i w:val="0"/>
          <w:sz w:val="28"/>
        </w:rPr>
        <w:t>La jurisprudencia que nos ocupa se inscribe en esa lógica, pero con un contorno preciso: su justificación descansa en que los puestos de primer nivel —las titularidades de la Secretaría de Gobierno Municipal, de la Tesorería y de las direcciones de las dependencias— son estratégicos para la gestión municipal, y de ahí deriva que quienes los ocupan permanezcan en el encargo solamente mientras dura el ejercicio de la administración. El criterio no dice, porque no podría decirlo, que toda persona al servicio de un municipio zacatecano carezca de nombramiento definitivo.</w:t>
      </w:r>
    </w:p>
    <w:p>
      <w:pPr>
        <w:spacing w:line="360" w:lineRule="auto"/>
        <w:jc w:val="both"/>
      </w:pPr>
      <w:r>
        <w:rPr>
          <w:rFonts w:ascii="Arial" w:hAnsi="Arial"/>
          <w:b w:val="0"/>
          <w:i w:val="0"/>
          <w:sz w:val="28"/>
        </w:rPr>
        <w:t>Conviene decirlo con claridad metodológica: distinguir un precedente no equivale a desacatarlo. La obligatoriedad de la jurisprudencia presupone la identidad entre el supuesto del criterio y el caso por resolver; cuando los hechos difieren justamente en el elemento que la regla considera relevante —aquí, la titularidad de un puesto de primer nivel—, la aplicación del criterio deja de ser un acto de obediencia y se convierte en una extensión analógica que el propio precedente no autoriza.</w:t>
      </w:r>
    </w:p>
    <w:p>
      <w:pPr>
        <w:spacing w:line="360" w:lineRule="auto"/>
        <w:jc w:val="both"/>
      </w:pPr>
      <w:r>
        <w:rPr>
          <w:rFonts w:ascii="Arial" w:hAnsi="Arial"/>
          <w:b w:val="0"/>
          <w:i w:val="0"/>
          <w:sz w:val="28"/>
        </w:rPr>
        <w:t>Para trasladar una regla así al caso concreto, el órgano jurisdiccional debe realizar dos operaciones que la teoría de la argumentación tiene bien identificadas. La primera es la motivación de la premisa fáctica: establecer la relación de hechos probados relevantes para resolver el conflicto y aportar las razones que acreditan su corrección.</w:t>
      </w:r>
      <w:r>
        <w:rPr>
          <w:rFonts w:ascii="Arial" w:hAnsi="Arial"/>
          <w:vertAlign w:val="superscript"/>
        </w:rPr>
        <w:t>2</w:t>
      </w:r>
      <w:r>
        <w:rPr>
          <w:rFonts w:ascii="Arial" w:hAnsi="Arial"/>
          <w:b w:val="0"/>
          <w:i w:val="0"/>
          <w:sz w:val="28"/>
        </w:rPr>
        <w:t xml:space="preserve"> La segunda es resolver el llamado problema de calificación, que se presenta cuando se discute si los hechos probados integran o no un caso subsumible en el supuesto de hecho de la norma.</w:t>
      </w:r>
      <w:r>
        <w:rPr>
          <w:rFonts w:ascii="Arial" w:hAnsi="Arial"/>
          <w:vertAlign w:val="superscript"/>
        </w:rPr>
        <w:t>3</w:t>
      </w:r>
    </w:p>
    <w:p>
      <w:pPr>
        <w:spacing w:line="360" w:lineRule="auto"/>
        <w:jc w:val="both"/>
      </w:pPr>
      <w:r>
        <w:rPr>
          <w:rFonts w:ascii="Arial" w:hAnsi="Arial"/>
          <w:b w:val="0"/>
          <w:i w:val="0"/>
          <w:sz w:val="28"/>
        </w:rPr>
        <w:t>A esas operaciones se suma una regla probatoria elemental, el principio de carga de la prueba, conforme al cual quien afirma un hecho en el proceso debe probarlo.</w:t>
      </w:r>
      <w:r>
        <w:rPr>
          <w:rFonts w:ascii="Arial" w:hAnsi="Arial"/>
          <w:vertAlign w:val="superscript"/>
        </w:rPr>
        <w:t>4</w:t>
      </w:r>
      <w:r>
        <w:rPr>
          <w:rFonts w:ascii="Arial" w:hAnsi="Arial"/>
          <w:b w:val="0"/>
          <w:i w:val="0"/>
          <w:sz w:val="28"/>
        </w:rPr>
        <w:t xml:space="preserve"> Trasladado al juicio laboral burocrático, si el ayuntamiento sostiene que el puesto es de primer nivel y que por ello la relación terminó con la administración, a él corresponde acreditar que la plaza se ubica en el catálogo legal y que las funciones realmente desempeñadas son las estratégicas que la jurisprudencia describe.</w:t>
      </w:r>
    </w:p>
    <w:p>
      <w:pPr>
        <w:spacing w:line="360" w:lineRule="auto"/>
        <w:jc w:val="both"/>
      </w:pPr>
      <w:r>
        <w:rPr>
          <w:rFonts w:ascii="Arial" w:hAnsi="Arial"/>
          <w:b w:val="0"/>
          <w:i w:val="0"/>
          <w:sz w:val="28"/>
        </w:rPr>
        <w:t>De este marco se obtiene la premisa mayor completa: la terminación de la relación laboral al concluir la administración municipal sólo opera respecto de los puestos que el artículo 60, fracción I, inciso c), de la Ley Orgánica del Municipio del Estado de Zacatecas reserva al nombramiento del ayuntamiento, y siempre que esa ubicación esté probada; fuera de ese supuesto rige la regla general de estabilidad, y la excepción no puede extenderse por analogía ni por comodidad argumentativa.</w:t>
      </w:r>
    </w:p>
    <w:p>
      <w:pPr>
        <w:spacing w:line="360" w:lineRule="auto"/>
        <w:jc w:val="both"/>
      </w:pPr>
      <w:r>
        <w:rPr>
          <w:rFonts w:ascii="Arial" w:hAnsi="Arial"/>
          <w:b/>
          <w:sz w:val="28"/>
        </w:rPr>
        <w:t>IV. Aplicación al caso y refutación de la consideración combatida.</w:t>
      </w:r>
    </w:p>
    <w:p>
      <w:pPr>
        <w:spacing w:line="360" w:lineRule="auto"/>
        <w:jc w:val="both"/>
      </w:pPr>
      <w:r>
        <w:rPr>
          <w:rFonts w:ascii="Arial" w:hAnsi="Arial"/>
          <w:b w:val="0"/>
          <w:i w:val="0"/>
          <w:sz w:val="28"/>
        </w:rPr>
        <w:t xml:space="preserve">La premisa menor es verificable en autos: la persona quejosa ingresó al servicio del municipio de </w:t>
      </w:r>
      <w:r>
        <w:rPr>
          <w:rFonts w:ascii="Arial" w:hAnsi="Arial"/>
          <w:b/>
          <w:i w:val="0"/>
          <w:sz w:val="28"/>
        </w:rPr>
        <w:t>[MUNICIPIO]</w:t>
      </w:r>
      <w:r>
        <w:rPr>
          <w:rFonts w:ascii="Arial" w:hAnsi="Arial"/>
          <w:b w:val="0"/>
          <w:i w:val="0"/>
          <w:sz w:val="28"/>
        </w:rPr>
        <w:t xml:space="preserve"> el </w:t>
      </w:r>
      <w:r>
        <w:rPr>
          <w:rFonts w:ascii="Arial" w:hAnsi="Arial"/>
          <w:b/>
          <w:i w:val="0"/>
          <w:sz w:val="28"/>
        </w:rPr>
        <w:t>[FECHA DE INGRESO]</w:t>
      </w:r>
      <w:r>
        <w:rPr>
          <w:rFonts w:ascii="Arial" w:hAnsi="Arial"/>
          <w:b w:val="0"/>
          <w:i w:val="0"/>
          <w:sz w:val="28"/>
        </w:rPr>
        <w:t xml:space="preserve">, con el puesto de </w:t>
      </w:r>
      <w:r>
        <w:rPr>
          <w:rFonts w:ascii="Arial" w:hAnsi="Arial"/>
          <w:b/>
          <w:i w:val="0"/>
          <w:sz w:val="28"/>
        </w:rPr>
        <w:t>[PUESTO DESEMPEÑADO]</w:t>
      </w:r>
      <w:r>
        <w:rPr>
          <w:rFonts w:ascii="Arial" w:hAnsi="Arial"/>
          <w:b w:val="0"/>
          <w:i w:val="0"/>
          <w:sz w:val="28"/>
        </w:rPr>
        <w:t xml:space="preserve">, y sus funciones consistían en </w:t>
      </w:r>
      <w:r>
        <w:rPr>
          <w:rFonts w:ascii="Arial" w:hAnsi="Arial"/>
          <w:b/>
          <w:i w:val="0"/>
          <w:sz w:val="28"/>
        </w:rPr>
        <w:t>[FUNCIONES REALMENTE DESEMPEÑADAS]</w:t>
      </w:r>
      <w:r>
        <w:rPr>
          <w:rFonts w:ascii="Arial" w:hAnsi="Arial"/>
          <w:b w:val="0"/>
          <w:i w:val="0"/>
          <w:sz w:val="28"/>
        </w:rPr>
        <w:t xml:space="preserve">. Ese puesto no es la titularidad de la Secretaría de Gobierno Municipal, no es la Tesorería y tampoco es una dirección de dependencia centralizada o descentralizada; basta confrontar el nombramiento con las constancias consistentes en </w:t>
      </w:r>
      <w:r>
        <w:rPr>
          <w:rFonts w:ascii="Arial" w:hAnsi="Arial"/>
          <w:b/>
          <w:i w:val="0"/>
          <w:sz w:val="28"/>
        </w:rPr>
        <w:t>[PRUEBAS QUE ACREDITAN LAS FUNCIONES]</w:t>
      </w:r>
      <w:r>
        <w:rPr>
          <w:rFonts w:ascii="Arial" w:hAnsi="Arial"/>
          <w:b w:val="0"/>
          <w:i w:val="0"/>
          <w:sz w:val="28"/>
        </w:rPr>
        <w:t xml:space="preserve"> para advertirlo.</w:t>
      </w:r>
    </w:p>
    <w:p>
      <w:pPr>
        <w:spacing w:line="360" w:lineRule="auto"/>
        <w:jc w:val="both"/>
      </w:pPr>
      <w:r>
        <w:rPr>
          <w:rFonts w:ascii="Arial" w:hAnsi="Arial"/>
          <w:b w:val="0"/>
          <w:i w:val="0"/>
          <w:sz w:val="28"/>
        </w:rPr>
        <w:t>La responsable, sin embargo, dio el salto sin red: de la sola denominación del puesto, o de su adscripción administrativa, concluyó que se trataba de un cargo de primer nivel y le aplicó la consecuencia de la jurisprudencia. Con ello incurrió, en primer término, en la falacia secundum quid o de la mala aplicación de una regla, que se comete al aplicar rígidamente una regla general como si no existieran circunstancias especiales que la hacen inaplicable al caso particular.</w:t>
      </w:r>
      <w:r>
        <w:rPr>
          <w:rFonts w:ascii="Arial" w:hAnsi="Arial"/>
          <w:vertAlign w:val="superscript"/>
        </w:rPr>
        <w:t>5</w:t>
      </w:r>
    </w:p>
    <w:p>
      <w:pPr>
        <w:spacing w:line="360" w:lineRule="auto"/>
        <w:jc w:val="both"/>
      </w:pPr>
      <w:r>
        <w:rPr>
          <w:rFonts w:ascii="Arial" w:hAnsi="Arial"/>
          <w:b w:val="0"/>
          <w:i w:val="0"/>
          <w:sz w:val="28"/>
        </w:rPr>
        <w:t>El error tiene una segunda cara: al comportarse como si el criterio alcanzara a cualquier persona de confianza municipal, la consideración combatida incurre en una conclusión desmesurada, la falacia que consiste en llevar una generalización más lejos de lo que autorizan los datos que la sustentan.</w:t>
      </w:r>
      <w:r>
        <w:rPr>
          <w:rFonts w:ascii="Arial" w:hAnsi="Arial"/>
          <w:vertAlign w:val="superscript"/>
        </w:rPr>
        <w:t>6</w:t>
      </w:r>
      <w:r>
        <w:rPr>
          <w:rFonts w:ascii="Arial" w:hAnsi="Arial"/>
          <w:b w:val="0"/>
          <w:i w:val="0"/>
          <w:sz w:val="28"/>
        </w:rPr>
        <w:t xml:space="preserve"> Los datos que sustentan la jurisprudencia son los puestos del inciso c) citado; todo lo que exceda ese catálogo es cosecha de la responsable, no del tribunal colegiado.</w:t>
      </w:r>
    </w:p>
    <w:p>
      <w:pPr>
        <w:spacing w:line="360" w:lineRule="auto"/>
        <w:jc w:val="both"/>
      </w:pPr>
      <w:r>
        <w:rPr>
          <w:rFonts w:ascii="Arial" w:hAnsi="Arial"/>
          <w:b w:val="0"/>
          <w:i w:val="0"/>
          <w:sz w:val="28"/>
        </w:rPr>
        <w:t>La estructura lógica del vicio queda a la vista si se reconstruye el razonamiento: la regla dispone que los puestos de primer nivel terminan con la administración; la responsable necesitaba probar que el puesto de la persona quejosa es de primer nivel y, en lugar de probarlo, lo dio por sentado, relevando al ayuntamiento de la carga que le correspondía e invirtiéndola de facto contra la parte trabajadora. La consideración constituye, además, una motivación aparente de la premisa fáctica, pues no expone las razones que acreditarían la ubicación del puesto en el catálogo legal.</w:t>
      </w:r>
    </w:p>
    <w:p>
      <w:pPr>
        <w:spacing w:line="360" w:lineRule="auto"/>
        <w:jc w:val="both"/>
      </w:pPr>
      <w:r>
        <w:rPr>
          <w:rFonts w:ascii="Arial" w:hAnsi="Arial"/>
          <w:b w:val="0"/>
          <w:i w:val="0"/>
          <w:sz w:val="28"/>
        </w:rPr>
        <w:t>Tampoco es admisible el atajo de la denominación: un membrete administrativo no convierte una plaza en estratégica. La propia justificación de la jurisprudencia razona a partir de las funciones que esos puestos desarrollan para la gestión municipal, de modo que la consideración combatida tenía que examinar lo que la persona trabajadora hacía en los hechos, y no cómo se llamaba su puesto en la nómina; al omitirlo, la responsable sustituyó la prueba por la etiqueta.</w:t>
      </w:r>
    </w:p>
    <w:p>
      <w:pPr>
        <w:spacing w:line="360" w:lineRule="auto"/>
        <w:jc w:val="both"/>
      </w:pPr>
      <w:r>
        <w:rPr>
          <w:rFonts w:ascii="Arial" w:hAnsi="Arial"/>
          <w:b w:val="0"/>
          <w:i w:val="0"/>
          <w:sz w:val="28"/>
        </w:rPr>
        <w:t>El razonamiento correcto habría sido el inverso: primero, identificar las funciones probadas; segundo, confrontarlas con el catálogo del artículo 60, fracción I, inciso c), de la ley orgánica municipal; tercero, sólo si la plaza encuadra en él, aplicar la consecuencia de la jurisprudencia; y, de no encuadrar, resolver la acción principal bajo la regla general de estabilidad, analizando la justificación o injustificación del cese. Nada de eso ocurrió, y esa omisión trascendió al resultado del fallo.</w:t>
      </w:r>
    </w:p>
    <w:p>
      <w:pPr>
        <w:spacing w:line="360" w:lineRule="auto"/>
        <w:jc w:val="both"/>
      </w:pPr>
      <w:r>
        <w:rPr>
          <w:rFonts w:ascii="Arial" w:hAnsi="Arial"/>
          <w:b w:val="0"/>
          <w:i w:val="0"/>
          <w:sz w:val="28"/>
        </w:rPr>
        <w:t>Ni siquiera la eventual calidad de confianza del puesto salvaría la consideración combatida, porque la responsable no fundó la absolución en esa calidad genérica, sino en la regla específica de terminación por conclusión de la administración, que sólo rige para el primer nivel; sustituir ahora una motivación por otra implicaría variar la litis del amparo y convalidar una resolución que no se sostiene en sus propios términos.</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 xml:space="preserve">En suma: la consideración de </w:t>
      </w:r>
      <w:r>
        <w:rPr>
          <w:rFonts w:ascii="Arial" w:hAnsi="Arial"/>
          <w:b/>
          <w:i w:val="0"/>
          <w:sz w:val="28"/>
        </w:rPr>
        <w:t>[CONSIDERANDO Y FOJA]</w:t>
      </w:r>
      <w:r>
        <w:rPr>
          <w:rFonts w:ascii="Arial" w:hAnsi="Arial"/>
          <w:b w:val="0"/>
          <w:i w:val="0"/>
          <w:sz w:val="28"/>
        </w:rPr>
        <w:t xml:space="preserve"> descansa en una calificación no probada y en la aplicación de una regla jurisprudencial fuera de su supuesto, lo que viola los artículos 14 y 16 constitucionales en perjuicio de la persona quejosa y torna inaplicable al caso la restricción al derecho a la estabilidad en el empleo.</w:t>
      </w:r>
    </w:p>
    <w:p>
      <w:pPr>
        <w:spacing w:line="360" w:lineRule="auto"/>
        <w:jc w:val="both"/>
      </w:pPr>
      <w:r>
        <w:rPr>
          <w:rFonts w:ascii="Arial" w:hAnsi="Arial"/>
          <w:b w:val="0"/>
          <w:i w:val="0"/>
          <w:sz w:val="28"/>
        </w:rPr>
        <w:t>Por lo anterior, procede conceder el amparo y protección de la Justicia Federal para el efecto de que la responsable deje insubsistente la sentencia reclamada y dicte otra en la que, sin aplicar la regla de terminación propia de los puestos de primer nivel a un puesto ajeno al catálogo del artículo 60, fracción I, inciso c), de la Ley Orgánica del Municipio del Estado de Zacatecas, resuelva la acción principal con libertad de jurisdicción, valorando las pruebas de las funciones realmente desempeñadas y la categoría de la plaza.</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 p. 844.</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1139.</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 p. 103.</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 p. 228.</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84.</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44.</w:t>
      </w:r>
    </w:p>
    <w:p/>
    <w:p>
      <w:r>
        <w:rPr>
          <w:rFonts w:ascii="Arial" w:hAnsi="Arial"/>
          <w:b/>
          <w:sz w:val="22"/>
        </w:rPr>
        <w:t>BIBLIOGRAFÍA</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w:t>
      </w:r>
    </w:p>
    <w:p>
      <w:pPr>
        <w:spacing w:after="60"/>
        <w:ind w:left="360" w:hanging="360"/>
        <w:jc w:val="both"/>
      </w:pP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w:t>
      </w:r>
    </w:p>
    <w:p>
      <w:pPr>
        <w:spacing w:after="60"/>
        <w:ind w:left="360" w:hanging="360"/>
        <w:jc w:val="both"/>
      </w:pP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