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RECURSO DE QUEJA CONTRA EL DESECHAMIENTO DEL AMPARO PROMOVIDO POR LA DEFENSA</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Descarga el machote, léelo completo una vez y después rellena los campos entre corchetes con los datos de tu expediente. El agravio está armado como silogismo: si tu caso encaja en la premisa (desechamiento por exigir acreditación plena de la representación), solo necesitas precisar los datos; si el auto recurrido usó otra razón, ajusta el planteamiento y la refutación a la consideración exacta que combates. Verifica el plazo de interposición de la queja en el artículo 98 de la Ley de Amparo antes de presentar.</w:t>
      </w:r>
    </w:p>
    <w:p>
      <w:pPr>
        <w:spacing w:line="360" w:lineRule="auto"/>
        <w:jc w:val="both"/>
      </w:pPr>
      <w:r>
        <w:rPr>
          <w:rFonts w:ascii="Arial" w:hAnsi="Arial"/>
          <w:b/>
          <w:i w:val="0"/>
          <w:sz w:val="24"/>
        </w:rPr>
        <w:t>[FECHA DEL AUTO RECURRIDO]</w:t>
      </w:r>
      <w:r>
        <w:rPr>
          <w:rFonts w:ascii="Arial" w:hAnsi="Arial"/>
          <w:b w:val="0"/>
          <w:i w:val="0"/>
          <w:sz w:val="24"/>
        </w:rPr>
        <w:t>: fecha del auto que desechó la demanda.</w:t>
      </w:r>
    </w:p>
    <w:p>
      <w:pPr>
        <w:spacing w:line="360" w:lineRule="auto"/>
        <w:jc w:val="both"/>
      </w:pPr>
      <w:r>
        <w:rPr>
          <w:rFonts w:ascii="Arial" w:hAnsi="Arial"/>
          <w:b/>
          <w:i w:val="0"/>
          <w:sz w:val="24"/>
        </w:rPr>
        <w:t>[NÚMERO DE EXPEDIENTE DEL JUICIO DE AMPARO]</w:t>
      </w:r>
      <w:r>
        <w:rPr>
          <w:rFonts w:ascii="Arial" w:hAnsi="Arial"/>
          <w:b w:val="0"/>
          <w:i w:val="0"/>
          <w:sz w:val="24"/>
        </w:rPr>
        <w:t>: expediente del amparo desechado.</w:t>
      </w:r>
    </w:p>
    <w:p>
      <w:pPr>
        <w:spacing w:line="360" w:lineRule="auto"/>
        <w:jc w:val="both"/>
      </w:pPr>
      <w:r>
        <w:rPr>
          <w:rFonts w:ascii="Arial" w:hAnsi="Arial"/>
          <w:b/>
          <w:i w:val="0"/>
          <w:sz w:val="24"/>
        </w:rPr>
        <w:t>[NOMBRE DE LA PERSONA QUEJOSA]</w:t>
      </w:r>
      <w:r>
        <w:rPr>
          <w:rFonts w:ascii="Arial" w:hAnsi="Arial"/>
          <w:b w:val="0"/>
          <w:i w:val="0"/>
          <w:sz w:val="24"/>
        </w:rPr>
        <w:t>: tu representado o representada.</w:t>
      </w:r>
    </w:p>
    <w:p>
      <w:pPr>
        <w:spacing w:line="360" w:lineRule="auto"/>
        <w:jc w:val="both"/>
      </w:pPr>
      <w:r>
        <w:rPr>
          <w:rFonts w:ascii="Arial" w:hAnsi="Arial"/>
          <w:b/>
          <w:i w:val="0"/>
          <w:sz w:val="24"/>
        </w:rPr>
        <w:t>[NÚMERO Y SEDE DEL JUZGADO DE DISTRITO]</w:t>
      </w:r>
      <w:r>
        <w:rPr>
          <w:rFonts w:ascii="Arial" w:hAnsi="Arial"/>
          <w:b w:val="0"/>
          <w:i w:val="0"/>
          <w:sz w:val="24"/>
        </w:rPr>
        <w:t>: órgano que dictó el desechamiento.</w:t>
      </w:r>
    </w:p>
    <w:p>
      <w:pPr>
        <w:spacing w:line="360" w:lineRule="auto"/>
        <w:jc w:val="both"/>
      </w:pPr>
      <w:r>
        <w:rPr>
          <w:rFonts w:ascii="Arial" w:hAnsi="Arial"/>
          <w:b/>
          <w:i w:val="0"/>
          <w:sz w:val="24"/>
        </w:rPr>
        <w:t>[FECHA DE NOTIFICACIÓN DEL AUTO RECURRIDO]</w:t>
      </w:r>
      <w:r>
        <w:rPr>
          <w:rFonts w:ascii="Arial" w:hAnsi="Arial"/>
          <w:b w:val="0"/>
          <w:i w:val="0"/>
          <w:sz w:val="24"/>
        </w:rPr>
        <w:t>: para computar la oportunidad.</w:t>
      </w:r>
    </w:p>
    <w:p>
      <w:pPr>
        <w:spacing w:line="360" w:lineRule="auto"/>
        <w:jc w:val="both"/>
      </w:pPr>
      <w:r>
        <w:rPr>
          <w:rFonts w:ascii="Arial" w:hAnsi="Arial"/>
          <w:b/>
          <w:i w:val="0"/>
          <w:sz w:val="24"/>
        </w:rPr>
        <w:t>[ACTO RECLAMADO PRIVATIVO DE LA LIBERTAD]</w:t>
      </w:r>
      <w:r>
        <w:rPr>
          <w:rFonts w:ascii="Arial" w:hAnsi="Arial"/>
          <w:b w:val="0"/>
          <w:i w:val="0"/>
          <w:sz w:val="24"/>
        </w:rPr>
        <w:t>: orden de aprehensión, comparecencia, citación u otro.</w:t>
      </w:r>
    </w:p>
    <w:p>
      <w:pPr>
        <w:spacing w:line="360" w:lineRule="auto"/>
        <w:jc w:val="both"/>
      </w:pPr>
      <w:r>
        <w:rPr>
          <w:rFonts w:ascii="Arial" w:hAnsi="Arial"/>
          <w:b/>
          <w:i w:val="0"/>
          <w:sz w:val="24"/>
        </w:rPr>
        <w:t>[AUTORIDAD RESPONSABLE]</w:t>
      </w:r>
      <w:r>
        <w:rPr>
          <w:rFonts w:ascii="Arial" w:hAnsi="Arial"/>
          <w:b w:val="0"/>
          <w:i w:val="0"/>
          <w:sz w:val="24"/>
        </w:rPr>
        <w:t>: quien libró el acto reclamado.</w:t>
      </w:r>
    </w:p>
    <w:p>
      <w:pPr>
        <w:spacing w:line="360" w:lineRule="auto"/>
        <w:jc w:val="both"/>
      </w:pPr>
      <w:r>
        <w:rPr>
          <w:rFonts w:ascii="Arial" w:hAnsi="Arial"/>
          <w:b/>
          <w:i w:val="0"/>
          <w:sz w:val="24"/>
        </w:rPr>
        <w:t>[NÚMERO DE LA CARPETA DE INVESTIGACIÓN DE LA QUE DERIVA EL ACTO RECLAMADO]</w:t>
      </w:r>
      <w:r>
        <w:rPr>
          <w:rFonts w:ascii="Arial" w:hAnsi="Arial"/>
          <w:b w:val="0"/>
          <w:i w:val="0"/>
          <w:sz w:val="24"/>
        </w:rPr>
        <w:t>: la carpeta desconocida.</w:t>
      </w:r>
    </w:p>
    <w:p>
      <w:pPr>
        <w:spacing w:line="360" w:lineRule="auto"/>
        <w:jc w:val="both"/>
      </w:pPr>
      <w:r>
        <w:rPr>
          <w:rFonts w:ascii="Arial" w:hAnsi="Arial"/>
          <w:b/>
          <w:i w:val="0"/>
          <w:sz w:val="24"/>
        </w:rPr>
        <w:t>[VERIFICAR PLAZO APLICABLE]</w:t>
      </w:r>
      <w:r>
        <w:rPr>
          <w:rFonts w:ascii="Arial" w:hAnsi="Arial"/>
          <w:b w:val="0"/>
          <w:i w:val="0"/>
          <w:sz w:val="24"/>
        </w:rPr>
        <w:t>: sustitúyelo por la afirmación de oportunidad conforme al artículo 98 de la Ley de Amparo.</w:t>
      </w:r>
    </w:p>
    <w:p>
      <w:pPr>
        <w:spacing w:line="360" w:lineRule="auto"/>
        <w:jc w:val="both"/>
      </w:pPr>
      <w:r>
        <w:rPr>
          <w:rFonts w:ascii="Arial" w:hAnsi="Arial"/>
          <w:b/>
          <w:i w:val="0"/>
          <w:sz w:val="24"/>
        </w:rPr>
        <w:t>[CONSIDERANDO O FOJA DEL AUTO RECURRIDO]</w:t>
      </w:r>
      <w:r>
        <w:rPr>
          <w:rFonts w:ascii="Arial" w:hAnsi="Arial"/>
          <w:b w:val="0"/>
          <w:i w:val="0"/>
          <w:sz w:val="24"/>
        </w:rPr>
        <w:t>: ubica la consideración que combates.</w:t>
      </w:r>
    </w:p>
    <w:p>
      <w:pPr>
        <w:spacing w:line="360" w:lineRule="auto"/>
        <w:jc w:val="both"/>
      </w:pPr>
      <w:r>
        <w:rPr>
          <w:rFonts w:ascii="Arial" w:hAnsi="Arial"/>
          <w:b/>
          <w:i w:val="0"/>
          <w:sz w:val="24"/>
        </w:rPr>
        <w:t>[ELEMENTOS OBJETIVOS QUE SE EXHIBIERON CON LA DEMANDA]</w:t>
      </w:r>
      <w:r>
        <w:rPr>
          <w:rFonts w:ascii="Arial" w:hAnsi="Arial"/>
          <w:b w:val="0"/>
          <w:i w:val="0"/>
          <w:sz w:val="24"/>
        </w:rPr>
        <w:t>: constancias que muestran el vínculo con tu representado.</w:t>
      </w:r>
    </w:p>
    <w:p>
      <w:pPr>
        <w:spacing w:line="360" w:lineRule="auto"/>
        <w:jc w:val="both"/>
      </w:pPr>
      <w:r>
        <w:rPr>
          <w:rFonts w:ascii="Arial" w:hAnsi="Arial"/>
          <w:b/>
          <w:i w:val="0"/>
          <w:sz w:val="24"/>
        </w:rPr>
        <w:t>[NÚMERO DE LA CARPETA DE INVESTIGACIÓN DONDE CONSTA LA DESIGNACIÓN]</w:t>
      </w:r>
      <w:r>
        <w:rPr>
          <w:rFonts w:ascii="Arial" w:hAnsi="Arial"/>
          <w:b w:val="0"/>
          <w:i w:val="0"/>
          <w:sz w:val="24"/>
        </w:rPr>
        <w:t>: la carpeta donde sí interviniste como defensa.</w:t>
      </w:r>
    </w:p>
    <w:p>
      <w:pPr>
        <w:spacing w:line="360" w:lineRule="auto"/>
        <w:jc w:val="both"/>
      </w:pPr>
      <w:r>
        <w:rPr>
          <w:rFonts w:ascii="Arial" w:hAnsi="Arial"/>
          <w:b/>
          <w:i w:val="0"/>
          <w:sz w:val="24"/>
        </w:rPr>
        <w:t>[ÓRGANO JURISDICCIONAL QUE CONOCE DE LA QUEJA]</w:t>
      </w:r>
      <w:r>
        <w:rPr>
          <w:rFonts w:ascii="Arial" w:hAnsi="Arial"/>
          <w:b w:val="0"/>
          <w:i w:val="0"/>
          <w:sz w:val="24"/>
        </w:rPr>
        <w:t>: el Tribunal Colegiado que resolverá.</w:t>
      </w:r>
    </w:p>
    <w:p/>
    <w:p>
      <w:pPr>
        <w:spacing w:line="360" w:lineRule="auto"/>
        <w:jc w:val="both"/>
      </w:pPr>
      <w:r>
        <w:rPr>
          <w:rFonts w:ascii="Arial" w:hAnsi="Arial"/>
          <w:b/>
          <w:sz w:val="28"/>
        </w:rPr>
        <w:t>AGRAVIO ÚNICO. Ilegalidad del auto que desechó de plano la demanda de amparo indirecto, porque el Juzgado de Distrito exigió a la persona defensora la acreditación plena de su representación, en contravención a la jurisprudencia PR.P.T.CS. J/7 P (12a.) del Pleno Regional en Materias Penal y de Trabajo de la Región Centro-Sur, que únicamente autoriza una verificación preliminar de elementos objetivos mínimos, con violación de los artículos 10, 11 y 14 de la Ley de Amparo, en relación con los artículos 17 y 20 de la Constitución Política de los Estados Unidos Mexicanos.</w:t>
      </w:r>
    </w:p>
    <w:p>
      <w:pPr>
        <w:spacing w:line="360" w:lineRule="auto"/>
        <w:jc w:val="both"/>
      </w:pPr>
      <w:r>
        <w:rPr>
          <w:rFonts w:ascii="Arial" w:hAnsi="Arial"/>
          <w:b/>
          <w:sz w:val="28"/>
        </w:rPr>
        <w:t>I. Síntesis.</w:t>
      </w:r>
    </w:p>
    <w:p>
      <w:pPr>
        <w:spacing w:line="360" w:lineRule="auto"/>
        <w:jc w:val="both"/>
      </w:pPr>
      <w:r>
        <w:rPr>
          <w:rFonts w:ascii="Arial" w:hAnsi="Arial"/>
          <w:b w:val="0"/>
          <w:i w:val="0"/>
          <w:sz w:val="28"/>
        </w:rPr>
        <w:t xml:space="preserve">En este agravio se demostrará que el auto de </w:t>
      </w:r>
      <w:r>
        <w:rPr>
          <w:rFonts w:ascii="Arial" w:hAnsi="Arial"/>
          <w:b/>
          <w:i w:val="0"/>
          <w:sz w:val="28"/>
        </w:rPr>
        <w:t>[FECHA DEL AUTO RECURRIDO]</w:t>
      </w:r>
      <w:r>
        <w:rPr>
          <w:rFonts w:ascii="Arial" w:hAnsi="Arial"/>
          <w:b w:val="0"/>
          <w:i w:val="0"/>
          <w:sz w:val="28"/>
        </w:rPr>
        <w:t xml:space="preserve">, dictado en el expediente </w:t>
      </w:r>
      <w:r>
        <w:rPr>
          <w:rFonts w:ascii="Arial" w:hAnsi="Arial"/>
          <w:b/>
          <w:i w:val="0"/>
          <w:sz w:val="28"/>
        </w:rPr>
        <w:t>[NÚMERO DE EXPEDIENTE DEL JUICIO DE AMPARO]</w:t>
      </w:r>
      <w:r>
        <w:rPr>
          <w:rFonts w:ascii="Arial" w:hAnsi="Arial"/>
          <w:b w:val="0"/>
          <w:i w:val="0"/>
          <w:sz w:val="28"/>
        </w:rPr>
        <w:t xml:space="preserve">, es ilegal, porque desechó de plano la demanda de amparo promovida por quien suscribe, en carácter de defensor particular de </w:t>
      </w:r>
      <w:r>
        <w:rPr>
          <w:rFonts w:ascii="Arial" w:hAnsi="Arial"/>
          <w:b/>
          <w:i w:val="0"/>
          <w:sz w:val="28"/>
        </w:rPr>
        <w:t>[NOMBRE DE LA PERSONA QUEJOSA]</w:t>
      </w:r>
      <w:r>
        <w:rPr>
          <w:rFonts w:ascii="Arial" w:hAnsi="Arial"/>
          <w:b w:val="0"/>
          <w:i w:val="0"/>
          <w:sz w:val="28"/>
        </w:rPr>
        <w:t>, bajo la premisa de que la representación no se acreditó plenamente, siendo que la jurisprudencia obligatoria del Pleno Regional sólo faculta al órgano de amparo para realizar un examen preliminar sobre la existencia de un vínculo objetivo de representación.</w:t>
      </w:r>
    </w:p>
    <w:p>
      <w:pPr>
        <w:spacing w:line="360" w:lineRule="auto"/>
        <w:jc w:val="both"/>
      </w:pPr>
      <w:r>
        <w:rPr>
          <w:rFonts w:ascii="Arial" w:hAnsi="Arial"/>
          <w:b w:val="0"/>
          <w:i w:val="0"/>
          <w:sz w:val="28"/>
        </w:rPr>
        <w:t>Se evidenciará, además, que la motivación del auto recurrido descansa en dos vicios lógicos con nombre propio, la falsa dicotomía y la petición de principio, pues redujo las opciones del juzgador a dos extremos, acreditación plena o desechamiento, y dio por probada la inexistencia del vínculo de representación, que era precisamente lo que debía verificarse. De prosperar este agravio, procederá revocar el auto recurrido y ordenar que se provea de nueva cuenta sobre la admisión de la demanda.</w:t>
      </w:r>
    </w:p>
    <w:p>
      <w:pPr>
        <w:spacing w:line="360" w:lineRule="auto"/>
        <w:jc w:val="both"/>
      </w:pPr>
      <w:r>
        <w:rPr>
          <w:rFonts w:ascii="Arial" w:hAnsi="Arial"/>
          <w:b/>
          <w:sz w:val="28"/>
        </w:rPr>
        <w:t>II. Planteamiento.</w:t>
      </w:r>
    </w:p>
    <w:p>
      <w:pPr>
        <w:spacing w:line="360" w:lineRule="auto"/>
        <w:jc w:val="both"/>
      </w:pPr>
      <w:r>
        <w:rPr>
          <w:rFonts w:ascii="Arial" w:hAnsi="Arial"/>
          <w:b w:val="0"/>
          <w:i w:val="0"/>
          <w:sz w:val="28"/>
        </w:rPr>
        <w:t xml:space="preserve">La resolución recurrida es el auto de </w:t>
      </w:r>
      <w:r>
        <w:rPr>
          <w:rFonts w:ascii="Arial" w:hAnsi="Arial"/>
          <w:b/>
          <w:i w:val="0"/>
          <w:sz w:val="28"/>
        </w:rPr>
        <w:t>[FECHA DEL AUTO RECURRIDO]</w:t>
      </w:r>
      <w:r>
        <w:rPr>
          <w:rFonts w:ascii="Arial" w:hAnsi="Arial"/>
          <w:b w:val="0"/>
          <w:i w:val="0"/>
          <w:sz w:val="28"/>
        </w:rPr>
        <w:t xml:space="preserve">, dictado por el Juzgado </w:t>
      </w:r>
      <w:r>
        <w:rPr>
          <w:rFonts w:ascii="Arial" w:hAnsi="Arial"/>
          <w:b/>
          <w:i w:val="0"/>
          <w:sz w:val="28"/>
        </w:rPr>
        <w:t>[NÚMERO Y SEDE DEL JUZGADO DE DISTRITO]</w:t>
      </w:r>
      <w:r>
        <w:rPr>
          <w:rFonts w:ascii="Arial" w:hAnsi="Arial"/>
          <w:b w:val="0"/>
          <w:i w:val="0"/>
          <w:sz w:val="28"/>
        </w:rPr>
        <w:t xml:space="preserve"> en el expediente </w:t>
      </w:r>
      <w:r>
        <w:rPr>
          <w:rFonts w:ascii="Arial" w:hAnsi="Arial"/>
          <w:b/>
          <w:i w:val="0"/>
          <w:sz w:val="28"/>
        </w:rPr>
        <w:t>[NÚMERO DE EXPEDIENTE DEL JUICIO DE AMPARO]</w:t>
      </w:r>
      <w:r>
        <w:rPr>
          <w:rFonts w:ascii="Arial" w:hAnsi="Arial"/>
          <w:b w:val="0"/>
          <w:i w:val="0"/>
          <w:sz w:val="28"/>
        </w:rPr>
        <w:t xml:space="preserve">, notificado el </w:t>
      </w:r>
      <w:r>
        <w:rPr>
          <w:rFonts w:ascii="Arial" w:hAnsi="Arial"/>
          <w:b/>
          <w:i w:val="0"/>
          <w:sz w:val="28"/>
        </w:rPr>
        <w:t>[FECHA DE NOTIFICACIÓN DEL AUTO RECURRIDO]</w:t>
      </w:r>
      <w:r>
        <w:rPr>
          <w:rFonts w:ascii="Arial" w:hAnsi="Arial"/>
          <w:b w:val="0"/>
          <w:i w:val="0"/>
          <w:sz w:val="28"/>
        </w:rPr>
        <w:t xml:space="preserve">, que desechó de plano la demanda de amparo indirecto promovida contra </w:t>
      </w:r>
      <w:r>
        <w:rPr>
          <w:rFonts w:ascii="Arial" w:hAnsi="Arial"/>
          <w:b/>
          <w:i w:val="0"/>
          <w:sz w:val="28"/>
        </w:rPr>
        <w:t>[ACTO RECLAMADO PRIVATIVO DE LA LIBERTAD]</w:t>
      </w:r>
      <w:r>
        <w:rPr>
          <w:rFonts w:ascii="Arial" w:hAnsi="Arial"/>
          <w:b w:val="0"/>
          <w:i w:val="0"/>
          <w:sz w:val="28"/>
        </w:rPr>
        <w:t xml:space="preserve">, atribuido a </w:t>
      </w:r>
      <w:r>
        <w:rPr>
          <w:rFonts w:ascii="Arial" w:hAnsi="Arial"/>
          <w:b/>
          <w:i w:val="0"/>
          <w:sz w:val="28"/>
        </w:rPr>
        <w:t>[AUTORIDAD RESPONSABLE]</w:t>
      </w:r>
      <w:r>
        <w:rPr>
          <w:rFonts w:ascii="Arial" w:hAnsi="Arial"/>
          <w:b w:val="0"/>
          <w:i w:val="0"/>
          <w:sz w:val="28"/>
        </w:rPr>
        <w:t xml:space="preserve"> dentro de la carpeta de investigación </w:t>
      </w:r>
      <w:r>
        <w:rPr>
          <w:rFonts w:ascii="Arial" w:hAnsi="Arial"/>
          <w:b/>
          <w:i w:val="0"/>
          <w:sz w:val="28"/>
        </w:rPr>
        <w:t>[NÚMERO DE LA CARPETA DE INVESTIGACIÓN DE LA QUE DERIVA EL ACTO RECLAMADO]</w:t>
      </w:r>
      <w:r>
        <w:rPr>
          <w:rFonts w:ascii="Arial" w:hAnsi="Arial"/>
          <w:b w:val="0"/>
          <w:i w:val="0"/>
          <w:sz w:val="28"/>
        </w:rPr>
        <w:t>.</w:t>
      </w:r>
    </w:p>
    <w:p>
      <w:pPr>
        <w:spacing w:line="360" w:lineRule="auto"/>
        <w:jc w:val="both"/>
      </w:pPr>
      <w:r>
        <w:rPr>
          <w:rFonts w:ascii="Arial" w:hAnsi="Arial"/>
          <w:b w:val="0"/>
          <w:i w:val="0"/>
          <w:sz w:val="28"/>
        </w:rPr>
        <w:t xml:space="preserve">El recurso de queja procede conforme al artículo 97, fracción I, inciso a), de la Ley de Amparo, por tratarse del desechamiento de una demanda de amparo indirecto, y se interpone oportunamente </w:t>
      </w:r>
      <w:r>
        <w:rPr>
          <w:rFonts w:ascii="Arial" w:hAnsi="Arial"/>
          <w:b/>
          <w:i w:val="0"/>
          <w:sz w:val="28"/>
        </w:rPr>
        <w:t>[VERIFICAR PLAZO APLICABLE]</w:t>
      </w:r>
      <w:r>
        <w:rPr>
          <w:rFonts w:ascii="Arial" w:hAnsi="Arial"/>
          <w:b w:val="0"/>
          <w:i w:val="0"/>
          <w:sz w:val="28"/>
        </w:rPr>
        <w:t xml:space="preserve">. La consideración que aquí se combate se localiza en </w:t>
      </w:r>
      <w:r>
        <w:rPr>
          <w:rFonts w:ascii="Arial" w:hAnsi="Arial"/>
          <w:b/>
          <w:i w:val="0"/>
          <w:sz w:val="28"/>
        </w:rPr>
        <w:t>[CONSIDERANDO O FOJA DEL AUTO RECURRIDO]</w:t>
      </w:r>
      <w:r>
        <w:rPr>
          <w:rFonts w:ascii="Arial" w:hAnsi="Arial"/>
          <w:b w:val="0"/>
          <w:i w:val="0"/>
          <w:sz w:val="28"/>
        </w:rPr>
        <w:t>: el juzgado sostuvo que la manifestación bajo protesta de decir verdad de contar con el carácter de defensor era insuficiente y que, al no obrar constancias de la representación en la carpeta de la que emanan los actos reclamados, la demanda debía desecharse.</w:t>
      </w:r>
    </w:p>
    <w:p>
      <w:pPr>
        <w:spacing w:line="360" w:lineRule="auto"/>
        <w:jc w:val="both"/>
      </w:pPr>
      <w:r>
        <w:rPr>
          <w:rFonts w:ascii="Arial" w:hAnsi="Arial"/>
          <w:b w:val="0"/>
          <w:i w:val="0"/>
          <w:sz w:val="28"/>
        </w:rPr>
        <w:t>No pasa inadvertido que la materia de la queja se ciñe a la legalidad del auto de desechamiento y no al fondo de los actos reclamados; por ello, este agravio no pretende demostrar todavía la inconstitucionalidad de las órdenes privativas de la libertad, sino únicamente que el juzgado aplicó un estándar de admisión más severo que el fijado por la jurisprudencia obligatoria, lo cual basta para revocar la determinación y devolver a la persona quejosa la posibilidad de que su demanda sea examinada.</w:t>
      </w:r>
    </w:p>
    <w:p>
      <w:pPr>
        <w:spacing w:line="360" w:lineRule="auto"/>
        <w:jc w:val="both"/>
      </w:pPr>
      <w:r>
        <w:rPr>
          <w:rFonts w:ascii="Arial" w:hAnsi="Arial"/>
          <w:b w:val="0"/>
          <w:i w:val="0"/>
          <w:sz w:val="28"/>
        </w:rPr>
        <w:t xml:space="preserve">El perjuicio es directo e inmediato: el desechamiento clausura el acceso al control constitucional respecto de actos que importan peligro de privación de la libertad de </w:t>
      </w:r>
      <w:r>
        <w:rPr>
          <w:rFonts w:ascii="Arial" w:hAnsi="Arial"/>
          <w:b/>
          <w:i w:val="0"/>
          <w:sz w:val="28"/>
        </w:rPr>
        <w:t>[NOMBRE DE LA PERSONA QUEJOSA]</w:t>
      </w:r>
      <w:r>
        <w:rPr>
          <w:rFonts w:ascii="Arial" w:hAnsi="Arial"/>
          <w:b w:val="0"/>
          <w:i w:val="0"/>
          <w:sz w:val="28"/>
        </w:rPr>
        <w:t>, y priva de eficacia a la regla de facilitación procesal que la Ley de Amparo establece justamente para esos supuestos urgentes, en los que la persona afectada difícilmente puede comparecer por sí misma. Este agravio muerde, pues, la consideración toral del auto recurrido, y no una cuestión accesoria, de modo que su estudio no puede eludirse por inoperancia.</w:t>
      </w:r>
    </w:p>
    <w:p>
      <w:pPr>
        <w:spacing w:line="360" w:lineRule="auto"/>
        <w:jc w:val="both"/>
      </w:pPr>
      <w:r>
        <w:rPr>
          <w:rFonts w:ascii="Arial" w:hAnsi="Arial"/>
          <w:b/>
          <w:sz w:val="28"/>
        </w:rPr>
        <w:t>III. Desarrollo doctrinal y jurisprudencial (premisa mayor).</w:t>
      </w:r>
    </w:p>
    <w:p>
      <w:pPr>
        <w:spacing w:line="360" w:lineRule="auto"/>
        <w:jc w:val="both"/>
      </w:pPr>
      <w:r>
        <w:rPr>
          <w:rFonts w:ascii="Arial" w:hAnsi="Arial"/>
          <w:b w:val="0"/>
          <w:i w:val="0"/>
          <w:sz w:val="28"/>
        </w:rPr>
        <w:t>El artículo 14 de la Ley de Amparo contiene una regla de facilitación procesal para promover el juicio cuando se reclaman actos que importen peligro de privación de la libertad: permite que la persona defensora afirme, bajo protesta de decir verdad, el carácter con el que comparece. En armonía con él, el artículo 11 del mismo ordenamiento dispone que, cuando quien comparece en nombre de la persona quejosa afirme tener reconocida su representación ante la autoridad responsable, en materia penal basta esa afirmación. Ninguno de los dos preceptos condiciona la admisión a una acreditación documental plena.</w:t>
      </w:r>
    </w:p>
    <w:p>
      <w:pPr>
        <w:spacing w:line="360" w:lineRule="auto"/>
        <w:jc w:val="both"/>
      </w:pPr>
      <w:r>
        <w:rPr>
          <w:rFonts w:ascii="Arial" w:hAnsi="Arial"/>
          <w:b w:val="0"/>
          <w:i w:val="0"/>
          <w:sz w:val="28"/>
        </w:rPr>
        <w:t>El alcance de esa regla, cuando los actos reclamados provienen de una carpeta de investigación diversa de aquella en la que la defensa intervino formalmente, fue definido por el Pleno Regional en Materias Penal y de Trabajo de la Región Centro-Sur, con residencia en la Ciudad de México, al resolver la contradicción de criterios 51/2026, surgida precisamente de recursos de queja interpuestos contra autos de desechamiento idénticos al que aquí se combate.</w:t>
      </w:r>
    </w:p>
    <w:p>
      <w:pPr>
        <w:spacing w:line="360" w:lineRule="auto"/>
        <w:jc w:val="both"/>
      </w:pPr>
      <w:r>
        <w:rPr>
          <w:rFonts w:ascii="Arial" w:hAnsi="Arial"/>
          <w:b w:val="0"/>
          <w:i w:val="0"/>
          <w:sz w:val="28"/>
        </w:rPr>
        <w:t xml:space="preserve">De esa contradicción derivó la jurisprudencia PR.P.T.CS. J/7 P (12a.), registro digital 2032516, publicada en el Semanario Judicial de la Federación el viernes 21 de agosto de 2026 y de aplicación obligatoria a partir del lunes 24 de agosto de 2026, de rubro: </w:t>
      </w:r>
      <w:r>
        <w:rPr>
          <w:rFonts w:ascii="Arial" w:hAnsi="Arial"/>
          <w:b w:val="0"/>
          <w:i/>
          <w:sz w:val="28"/>
        </w:rPr>
        <w:t>«DEMANDA DE AMPARO INDIRECTO. PREVIO A SU ADMISIÓN, EL JUZGADO DE DISTRITO DEBE VERIFICAR LA EXISTENCIA DE LA REPRESENTACIÓN DEL PROMOVENTE CUANDO SE OSTENTE COMO DEFENSOR PARTICULAR DEL QUEJOSO Y LOS ACTOS RECLAMADOS DERIVEN DE UNA CARPETA DE INVESTIGACIÓN DISTINTA»</w:t>
      </w:r>
      <w:r>
        <w:rPr>
          <w:rFonts w:ascii="Arial" w:hAnsi="Arial"/>
          <w:b w:val="0"/>
          <w:i w:val="0"/>
          <w:sz w:val="28"/>
        </w:rPr>
        <w:t>.</w:t>
      </w:r>
    </w:p>
    <w:p>
      <w:pPr>
        <w:spacing w:line="360" w:lineRule="auto"/>
        <w:jc w:val="both"/>
      </w:pPr>
      <w:r>
        <w:rPr>
          <w:rFonts w:ascii="Arial" w:hAnsi="Arial"/>
          <w:b w:val="0"/>
          <w:i w:val="0"/>
          <w:sz w:val="28"/>
        </w:rPr>
        <w:t xml:space="preserve">Su criterio jurídico dispone: </w:t>
      </w:r>
      <w:r>
        <w:rPr>
          <w:rFonts w:ascii="Arial" w:hAnsi="Arial"/>
          <w:b w:val="0"/>
          <w:i/>
          <w:sz w:val="28"/>
        </w:rPr>
        <w:t>«Cuando una demanda de amparo indirecto se promueva por conducto de quien se ostenta como defensor particular y en ella se reclamen órdenes de citación, comparecencia, aprehensión o cualquier otro acto privativo de la libertad dictado dentro de una carpeta de investigación distinta de aquella en la que intervino formalmente, el Juzgado de Distrito, antes de admitirla, debe verificar de manera preliminar la existencia de un vínculo objetivo de representación que justifique su actuación en favor de la persona quejosa»</w:t>
      </w:r>
      <w:r>
        <w:rPr>
          <w:rFonts w:ascii="Arial" w:hAnsi="Arial"/>
          <w:b w:val="0"/>
          <w:i w:val="0"/>
          <w:sz w:val="28"/>
        </w:rPr>
        <w:t>.</w:t>
      </w:r>
    </w:p>
    <w:p>
      <w:pPr>
        <w:spacing w:line="360" w:lineRule="auto"/>
        <w:jc w:val="both"/>
      </w:pPr>
      <w:r>
        <w:rPr>
          <w:rFonts w:ascii="Arial" w:hAnsi="Arial"/>
          <w:b w:val="0"/>
          <w:i w:val="0"/>
          <w:sz w:val="28"/>
        </w:rPr>
        <w:t xml:space="preserve">La propia jurisprudencia delimita la intensidad de ese examen: </w:t>
      </w:r>
      <w:r>
        <w:rPr>
          <w:rFonts w:ascii="Arial" w:hAnsi="Arial"/>
          <w:b w:val="0"/>
          <w:i/>
          <w:sz w:val="28"/>
        </w:rPr>
        <w:t>«Ese examen preliminar no implica exigir una acreditación plena de la personalidad ni anticipar un análisis exhaustivo sobre la representación, sino únicamente verificar la existencia de elementos objetivos mínimos que permitan razonablemente inferirla»</w:t>
      </w:r>
      <w:r>
        <w:rPr>
          <w:rFonts w:ascii="Arial" w:hAnsi="Arial"/>
          <w:b w:val="0"/>
          <w:i w:val="0"/>
          <w:sz w:val="28"/>
        </w:rPr>
        <w:t>. El estándar es, pues, de inferencia razonable y no de prueba acabada: su función es filtrar promociones carentes de todo sustento, no cerrar la puerta a defensas reales.</w:t>
      </w:r>
    </w:p>
    <w:p>
      <w:pPr>
        <w:spacing w:line="360" w:lineRule="auto"/>
        <w:jc w:val="both"/>
      </w:pPr>
      <w:r>
        <w:rPr>
          <w:rFonts w:ascii="Arial" w:hAnsi="Arial"/>
          <w:b w:val="0"/>
          <w:i w:val="0"/>
          <w:sz w:val="28"/>
        </w:rPr>
        <w:t>La doctrina confirma esa lectura. La aptitud para comparecer en el proceso, esto es, la capacidad procesal o legitimación ad processum, es un presupuesto procesal formal; la representación defectuosa se denuncia por la vía de la falta de personería y el juzgador debe examinarla de oficio.</w:t>
      </w:r>
      <w:r>
        <w:rPr>
          <w:rFonts w:ascii="Arial" w:hAnsi="Arial"/>
          <w:vertAlign w:val="superscript"/>
        </w:rPr>
        <w:t>1</w:t>
      </w:r>
      <w:r>
        <w:rPr>
          <w:rFonts w:ascii="Arial" w:hAnsi="Arial"/>
          <w:b w:val="0"/>
          <w:i w:val="0"/>
          <w:sz w:val="28"/>
        </w:rPr>
        <w:t xml:space="preserve"> De ahí que, cuando el documento con que se acredita la personalidad falta o resulta insuficiente, la Ley de Amparo no ordene desechar, sino requerir a la parte promovente para que aclare su demanda, según su artículo 114, fracción III: la irregularidad se depura mediante prevención, no con el cierre de la vía.</w:t>
      </w:r>
    </w:p>
    <w:p>
      <w:pPr>
        <w:spacing w:line="360" w:lineRule="auto"/>
        <w:jc w:val="both"/>
      </w:pPr>
      <w:r>
        <w:rPr>
          <w:rFonts w:ascii="Arial" w:hAnsi="Arial"/>
          <w:b w:val="0"/>
          <w:i w:val="0"/>
          <w:sz w:val="28"/>
        </w:rPr>
        <w:t>En la misma línea, el derecho de acceso a la justicia obliga a interpretar los requisitos procesales en el sentido más favorable a la admisión de las pretensiones, mandato conocido como principio pro actione, conforme al cual no puede declararse la inadmisibilidad por un defecto subsanable si no se dio oportunidad de subsanarlo.</w:t>
      </w:r>
      <w:r>
        <w:rPr>
          <w:rFonts w:ascii="Arial" w:hAnsi="Arial"/>
          <w:vertAlign w:val="superscript"/>
        </w:rPr>
        <w:t>2</w:t>
      </w:r>
      <w:r>
        <w:rPr>
          <w:rFonts w:ascii="Arial" w:hAnsi="Arial"/>
          <w:b w:val="0"/>
          <w:i w:val="0"/>
          <w:sz w:val="28"/>
        </w:rPr>
        <w:t xml:space="preserve"> Ese mandato deriva del artículo 17 de la Constitución, que la jurisprudencia invocada tomó como eje de su interpretación sistemática de los artículos 10, 11 y 14 de la Ley de Amparo.</w:t>
      </w:r>
    </w:p>
    <w:p>
      <w:pPr>
        <w:spacing w:line="360" w:lineRule="auto"/>
        <w:jc w:val="both"/>
      </w:pPr>
      <w:r>
        <w:rPr>
          <w:rFonts w:ascii="Arial" w:hAnsi="Arial"/>
          <w:b w:val="0"/>
          <w:i w:val="0"/>
          <w:sz w:val="28"/>
        </w:rPr>
        <w:t>A lo anterior se suma la dimensión penal del problema: el artículo 20, apartado B, fracción VIII, de la Constitución garantiza a toda persona imputada una defensa adecuada por abogado de su libre elección, incluso desde el momento de su detención. La doctrina precisa que ese derecho exige, en primer término, generar las condiciones formal y material para que la persona inculpada sea debidamente asistida.</w:t>
      </w:r>
      <w:r>
        <w:rPr>
          <w:rFonts w:ascii="Arial" w:hAnsi="Arial"/>
          <w:vertAlign w:val="superscript"/>
        </w:rPr>
        <w:t>3</w:t>
      </w:r>
      <w:r>
        <w:rPr>
          <w:rFonts w:ascii="Arial" w:hAnsi="Arial"/>
          <w:b w:val="0"/>
          <w:i w:val="0"/>
          <w:sz w:val="28"/>
        </w:rPr>
        <w:t xml:space="preserve"> Exigir a la defensa que pruebe plenamente lo que la ley le permite afirmar convierte ese derecho en ilusorio en el momento de mayor riesgo para la libertad.</w:t>
      </w:r>
    </w:p>
    <w:p>
      <w:pPr>
        <w:spacing w:line="360" w:lineRule="auto"/>
        <w:jc w:val="both"/>
      </w:pPr>
      <w:r>
        <w:rPr>
          <w:rFonts w:ascii="Arial" w:hAnsi="Arial"/>
          <w:b/>
          <w:sz w:val="28"/>
        </w:rPr>
        <w:t>IV. Aplicación al caso concreto y refutación del auto recurrido.</w:t>
      </w:r>
    </w:p>
    <w:p>
      <w:pPr>
        <w:spacing w:line="360" w:lineRule="auto"/>
        <w:jc w:val="both"/>
      </w:pPr>
      <w:r>
        <w:rPr>
          <w:rFonts w:ascii="Arial" w:hAnsi="Arial"/>
          <w:b w:val="0"/>
          <w:i w:val="0"/>
          <w:sz w:val="28"/>
        </w:rPr>
        <w:t xml:space="preserve">La premisa menor es la siguiente: la demanda de amparo se promovió por quien suscribe, en carácter de defensor particular de </w:t>
      </w:r>
      <w:r>
        <w:rPr>
          <w:rFonts w:ascii="Arial" w:hAnsi="Arial"/>
          <w:b/>
          <w:i w:val="0"/>
          <w:sz w:val="28"/>
        </w:rPr>
        <w:t>[NOMBRE DE LA PERSONA QUEJOSA]</w:t>
      </w:r>
      <w:r>
        <w:rPr>
          <w:rFonts w:ascii="Arial" w:hAnsi="Arial"/>
          <w:b w:val="0"/>
          <w:i w:val="0"/>
          <w:sz w:val="28"/>
        </w:rPr>
        <w:t xml:space="preserve">, y se acompañó de </w:t>
      </w:r>
      <w:r>
        <w:rPr>
          <w:rFonts w:ascii="Arial" w:hAnsi="Arial"/>
          <w:b/>
          <w:i w:val="0"/>
          <w:sz w:val="28"/>
        </w:rPr>
        <w:t>[ELEMENTOS OBJETIVOS QUE SE EXHIBIERON CON LA DEMANDA]</w:t>
      </w:r>
      <w:r>
        <w:rPr>
          <w:rFonts w:ascii="Arial" w:hAnsi="Arial"/>
          <w:b w:val="0"/>
          <w:i w:val="0"/>
          <w:sz w:val="28"/>
        </w:rPr>
        <w:t xml:space="preserve">, entre ellos la constancia de designación y aceptación del cargo dentro de la carpeta de investigación </w:t>
      </w:r>
      <w:r>
        <w:rPr>
          <w:rFonts w:ascii="Arial" w:hAnsi="Arial"/>
          <w:b/>
          <w:i w:val="0"/>
          <w:sz w:val="28"/>
        </w:rPr>
        <w:t>[NÚMERO DE LA CARPETA DE INVESTIGACIÓN DONDE CONSTA LA DESIGNACIÓN]</w:t>
      </w:r>
      <w:r>
        <w:rPr>
          <w:rFonts w:ascii="Arial" w:hAnsi="Arial"/>
          <w:b w:val="0"/>
          <w:i w:val="0"/>
          <w:sz w:val="28"/>
        </w:rPr>
        <w:t>. Esas constancias identifican plenamente a la persona representada y coinciden con aquella contra quien se libraron los actos reclamados en la carpeta diversa.</w:t>
      </w:r>
    </w:p>
    <w:p>
      <w:pPr>
        <w:spacing w:line="360" w:lineRule="auto"/>
        <w:jc w:val="both"/>
      </w:pPr>
      <w:r>
        <w:rPr>
          <w:rFonts w:ascii="Arial" w:hAnsi="Arial"/>
          <w:b w:val="0"/>
          <w:i w:val="0"/>
          <w:sz w:val="28"/>
        </w:rPr>
        <w:t xml:space="preserve">Tales datos constituyen, con exactitud, los </w:t>
      </w:r>
      <w:r>
        <w:rPr>
          <w:rFonts w:ascii="Arial" w:hAnsi="Arial"/>
          <w:b w:val="0"/>
          <w:i/>
          <w:sz w:val="28"/>
        </w:rPr>
        <w:t>«elementos objetivos mínimos que permitan razonablemente inferirla»</w:t>
      </w:r>
      <w:r>
        <w:rPr>
          <w:rFonts w:ascii="Arial" w:hAnsi="Arial"/>
          <w:b w:val="0"/>
          <w:i w:val="0"/>
          <w:sz w:val="28"/>
        </w:rPr>
        <w:t xml:space="preserve"> a que alude la jurisprudencia: acreditan un vínculo profesional real y vigente entre la persona defensora y la persona quejosa, y explican racionalmente que la primera accione en favor de la segunda frente a órdenes privativas de la libertad que, por su naturaleza, se gestan sin conocimiento de la defensa. No se está, por tanto, ante la habilitación irrestricta para promover en nombre de terceros que la jurisprudencia busca evitar, sino ante su supuesto inverso.</w:t>
      </w:r>
    </w:p>
    <w:p>
      <w:pPr>
        <w:spacing w:line="360" w:lineRule="auto"/>
        <w:jc w:val="both"/>
      </w:pPr>
      <w:r>
        <w:rPr>
          <w:rFonts w:ascii="Arial" w:hAnsi="Arial"/>
          <w:b w:val="0"/>
          <w:i w:val="0"/>
          <w:sz w:val="28"/>
        </w:rPr>
        <w:t>No obstante, el auto recurrido desechó la demanda con el argumento de que la representación no consta en la carpeta de la que emanan los actos reclamados. Ese razonamiento incurre en la falacia de falsa dicotomía o falso dilema, que consiste en ver únicamente dos opciones cuando existen otras.</w:t>
      </w:r>
      <w:r>
        <w:rPr>
          <w:rFonts w:ascii="Arial" w:hAnsi="Arial"/>
          <w:vertAlign w:val="superscript"/>
        </w:rPr>
        <w:t>4</w:t>
      </w:r>
      <w:r>
        <w:rPr>
          <w:rFonts w:ascii="Arial" w:hAnsi="Arial"/>
          <w:b w:val="0"/>
          <w:i w:val="0"/>
          <w:sz w:val="28"/>
        </w:rPr>
        <w:t xml:space="preserve"> El juzgado se colocó ante una disyuntiva artificial: o la personalidad estaba plenamente acreditada en esa carpeta, o procedía desechar.</w:t>
      </w:r>
    </w:p>
    <w:p>
      <w:pPr>
        <w:spacing w:line="360" w:lineRule="auto"/>
        <w:jc w:val="both"/>
      </w:pPr>
      <w:r>
        <w:rPr>
          <w:rFonts w:ascii="Arial" w:hAnsi="Arial"/>
          <w:b w:val="0"/>
          <w:i w:val="0"/>
          <w:sz w:val="28"/>
        </w:rPr>
        <w:t>El dilema es falso porque sus términos no son exhaustivos, y basta descubrir una tercera vía para que el argumento disyuntivo se derrumbe.</w:t>
      </w:r>
      <w:r>
        <w:rPr>
          <w:rFonts w:ascii="Arial" w:hAnsi="Arial"/>
          <w:vertAlign w:val="superscript"/>
        </w:rPr>
        <w:t>5</w:t>
      </w:r>
      <w:r>
        <w:rPr>
          <w:rFonts w:ascii="Arial" w:hAnsi="Arial"/>
          <w:b w:val="0"/>
          <w:i w:val="0"/>
          <w:sz w:val="28"/>
        </w:rPr>
        <w:t xml:space="preserve"> Aquí la tercera vía no es una ocurrencia de la defensa: es la que ordena la propia jurisprudencia obligatoria, esto es, el examen preliminar de los elementos objetivos exhibidos y, ante una duda superable, la prevención, cauce que la doctrina reconoce como el conducto natural para depurar la personería.</w:t>
      </w:r>
    </w:p>
    <w:p>
      <w:pPr>
        <w:spacing w:line="360" w:lineRule="auto"/>
        <w:jc w:val="both"/>
      </w:pPr>
      <w:r>
        <w:rPr>
          <w:rFonts w:ascii="Arial" w:hAnsi="Arial"/>
          <w:b w:val="0"/>
          <w:i w:val="0"/>
          <w:sz w:val="28"/>
        </w:rPr>
        <w:t>El auto incurre, además, en petición de principio, vicio que consiste en dar por demostrado aquello que precisamente debe demostrarse.</w:t>
      </w:r>
      <w:r>
        <w:rPr>
          <w:rFonts w:ascii="Arial" w:hAnsi="Arial"/>
          <w:vertAlign w:val="superscript"/>
        </w:rPr>
        <w:t>6</w:t>
      </w:r>
      <w:r>
        <w:rPr>
          <w:rFonts w:ascii="Arial" w:hAnsi="Arial"/>
          <w:b w:val="0"/>
          <w:i w:val="0"/>
          <w:sz w:val="28"/>
        </w:rPr>
        <w:t xml:space="preserve"> El juzgado concluyó que quien suscribe carece de representación porque ésta no consta en la carpeta diversa; pero la existencia del vínculo era justamente la cuestión que debía verificar de manera preliminar con los elementos aportados, no una premisa que pudiera asumirse en sentido negativo sin examen alguno.</w:t>
      </w:r>
    </w:p>
    <w:p>
      <w:pPr>
        <w:spacing w:line="360" w:lineRule="auto"/>
        <w:jc w:val="both"/>
      </w:pPr>
      <w:r>
        <w:rPr>
          <w:rFonts w:ascii="Arial" w:hAnsi="Arial"/>
          <w:b w:val="0"/>
          <w:i w:val="0"/>
          <w:sz w:val="28"/>
        </w:rPr>
        <w:t>Dicho de otro modo: el desechamiento de plano sólo se justifica ante una improcedencia manifiesta e indudable, y en el caso no existía tal cosa, pues obraban constancias que permitían inferir razonablemente la representación. Si el juzgado abrigaba dudas sobre su alcance, el cauce legal era requerir a la parte promovente, no clausurar el juicio; al optar por la salida más gravosa, invirtió la lógica de la regla de facilitación y resolvió en contra del principio pro actione.</w:t>
      </w:r>
    </w:p>
    <w:p>
      <w:pPr>
        <w:spacing w:line="360" w:lineRule="auto"/>
        <w:jc w:val="both"/>
      </w:pPr>
      <w:r>
        <w:rPr>
          <w:rFonts w:ascii="Arial" w:hAnsi="Arial"/>
          <w:b w:val="0"/>
          <w:i w:val="0"/>
          <w:sz w:val="28"/>
        </w:rPr>
        <w:t>La trascendencia del vicio es evidente. La interpretación sistemática de los artículos 10, 11 y 14 de la Ley de Amparo con el artículo 17 constitucional, que la propia jurisprudencia exige, persigue el equilibrio entre la tutela judicial efectiva y la regularidad de la representación procesal; el auto recurrido rompió ese equilibrio en el único sentido prohibido: transformó una verificación preliminar en una carga probatoria plena, imposible de satisfacer respecto de carpetas de investigación a las que la defensa ni siquiera ha tenido acceso.</w:t>
      </w:r>
    </w:p>
    <w:p>
      <w:pPr>
        <w:spacing w:line="360" w:lineRule="auto"/>
        <w:jc w:val="both"/>
      </w:pPr>
      <w:r>
        <w:rPr>
          <w:rFonts w:ascii="Arial" w:hAnsi="Arial"/>
          <w:b w:val="0"/>
          <w:i w:val="0"/>
          <w:sz w:val="28"/>
        </w:rPr>
        <w:t>Esa exigencia desnaturaliza también la defensa adecuada, porque los actos privativos de la libertad dictados en carpetas desconocidas son, precisamente, el supuesto en el que la persona imputada más necesita la actuación inmediata de su defensa; condicionar esa actuación a constancias de una carpeta a la que la defensa no ha podido acceder equivale a negar el recurso judicial efectivo en el momento en que resulta más urgente.</w:t>
      </w:r>
    </w:p>
    <w:p>
      <w:pPr>
        <w:spacing w:line="360" w:lineRule="auto"/>
        <w:jc w:val="both"/>
      </w:pPr>
      <w:r>
        <w:rPr>
          <w:rFonts w:ascii="Arial" w:hAnsi="Arial"/>
          <w:b/>
          <w:sz w:val="28"/>
        </w:rPr>
        <w:t>V. Conclusión y petición parcial.</w:t>
      </w:r>
    </w:p>
    <w:p>
      <w:pPr>
        <w:spacing w:line="360" w:lineRule="auto"/>
        <w:jc w:val="both"/>
      </w:pPr>
      <w:r>
        <w:rPr>
          <w:rFonts w:ascii="Arial" w:hAnsi="Arial"/>
          <w:b w:val="0"/>
          <w:i w:val="0"/>
          <w:sz w:val="28"/>
        </w:rPr>
        <w:t>En síntesis: la premisa mayor se integra con los artículos 10, 11 y 14 de la Ley de Amparo, los artículos 17 y 20 de la Constitución y la jurisprudencia PR.P.T.CS. J/7 P (12a.), que sólo autoriza un examen preliminar de elementos objetivos mínimos; la premisa menor consiste en que la demanda se acompañó de constancias que permiten inferir razonablemente la representación; y la conclusión es que el desechamiento, sustentado en la exigencia de una acreditación plena, resulta ilegal y debe revocarse.</w:t>
      </w:r>
    </w:p>
    <w:p>
      <w:pPr>
        <w:spacing w:line="360" w:lineRule="auto"/>
        <w:jc w:val="both"/>
      </w:pPr>
      <w:r>
        <w:rPr>
          <w:rFonts w:ascii="Arial" w:hAnsi="Arial"/>
          <w:b w:val="0"/>
          <w:i w:val="0"/>
          <w:sz w:val="28"/>
        </w:rPr>
        <w:t xml:space="preserve">Por lo expuesto, se solicita a ese </w:t>
      </w:r>
      <w:r>
        <w:rPr>
          <w:rFonts w:ascii="Arial" w:hAnsi="Arial"/>
          <w:b/>
          <w:i w:val="0"/>
          <w:sz w:val="28"/>
        </w:rPr>
        <w:t>[ÓRGANO JURISDICCIONAL QUE CONOCE DE LA QUEJA]</w:t>
      </w:r>
      <w:r>
        <w:rPr>
          <w:rFonts w:ascii="Arial" w:hAnsi="Arial"/>
          <w:b w:val="0"/>
          <w:i w:val="0"/>
          <w:sz w:val="28"/>
        </w:rPr>
        <w:t xml:space="preserve"> declarar fundado el presente agravio, revocar el auto recurrido y ordenar al Juzgado de Distrito que provea de nueva cuenta sobre la admisión de la demanda de amparo con acatamiento de la jurisprudencia obligatoria invocada, valorando los elementos objetivos exhibidos y, de estimarlo estrictamente necesario, formulando la prevención que corresponda, sin exigir en ningún caso la acreditación plena de la representación como condición de admisibilidad.</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1688.</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 xml:space="preserve">IBARRA OLGUÍN, Ana María (ed.), </w:t>
      </w:r>
      <w:r>
        <w:rPr>
          <w:rFonts w:ascii="Arial" w:hAnsi="Arial"/>
          <w:i/>
          <w:sz w:val="20"/>
        </w:rPr>
        <w:t>Curso de derechos humanos</w:t>
      </w:r>
      <w:r>
        <w:rPr>
          <w:rFonts w:ascii="Arial" w:hAnsi="Arial"/>
          <w:i w:val="0"/>
          <w:sz w:val="20"/>
        </w:rPr>
        <w:t>, Tirant lo Blanch, México, 2022, p. 336.</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661.</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MORA RAMIREZ, Rafael, </w:t>
      </w:r>
      <w:r>
        <w:rPr>
          <w:rFonts w:ascii="Arial" w:hAnsi="Arial"/>
          <w:i/>
          <w:sz w:val="20"/>
        </w:rPr>
        <w:t>Para comprender a las falacias</w:t>
      </w:r>
      <w:r>
        <w:rPr>
          <w:rFonts w:ascii="Arial" w:hAnsi="Arial"/>
          <w:i w:val="0"/>
          <w:sz w:val="20"/>
        </w:rPr>
        <w:t>, Acuedu Ediciones, s. f., p. 87.</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33.</w:t>
      </w:r>
    </w:p>
    <w:p>
      <w:pPr>
        <w:spacing w:after="60"/>
        <w:ind w:left="360" w:hanging="360"/>
        <w:jc w:val="both"/>
      </w:pPr>
      <w:r>
        <w:rPr>
          <w:rFonts w:ascii="Arial" w:hAnsi="Arial"/>
          <w:sz w:val="20"/>
          <w:vertAlign w:val="superscript"/>
        </w:rPr>
        <w:t>6</w:t>
      </w:r>
      <w:r>
        <w:rPr>
          <w:sz w:val="20"/>
        </w:rPr>
        <w:t xml:space="preserve"> </w:t>
      </w:r>
      <w:r>
        <w:rPr>
          <w:rFonts w:ascii="Arial" w:hAnsi="Arial"/>
          <w:i w:val="0"/>
          <w:sz w:val="20"/>
        </w:rPr>
        <w:t>GARCÍA DAMBORENEA, op. cit.</w:t>
      </w:r>
      <w:r>
        <w:rPr>
          <w:rFonts w:ascii="Arial" w:hAnsi="Arial"/>
          <w:i w:val="0"/>
          <w:sz w:val="20"/>
        </w:rPr>
        <w:t>, p. 73.</w:t>
      </w:r>
    </w:p>
    <w:p/>
    <w:p>
      <w:r>
        <w:rPr>
          <w:rFonts w:ascii="Arial" w:hAnsi="Arial"/>
          <w:b/>
          <w:sz w:val="22"/>
        </w:rPr>
        <w:t>BIBLIOGRAFÍA</w:t>
      </w:r>
    </w:p>
    <w:p>
      <w:pPr>
        <w:spacing w:after="60"/>
        <w:ind w:left="360" w:hanging="360"/>
        <w:jc w:val="both"/>
      </w:pP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p>
      <w:pPr>
        <w:spacing w:after="60"/>
        <w:ind w:left="360" w:hanging="360"/>
        <w:jc w:val="both"/>
      </w:pPr>
      <w:r>
        <w:rPr>
          <w:rFonts w:ascii="Arial" w:hAnsi="Arial"/>
          <w:i w:val="0"/>
          <w:sz w:val="20"/>
        </w:rPr>
        <w:t xml:space="preserve">IBARRA OLGUÍN, Ana María (ed.), </w:t>
      </w:r>
      <w:r>
        <w:rPr>
          <w:rFonts w:ascii="Arial" w:hAnsi="Arial"/>
          <w:i/>
          <w:sz w:val="20"/>
        </w:rPr>
        <w:t>Curso de derechos humanos</w:t>
      </w:r>
      <w:r>
        <w:rPr>
          <w:rFonts w:ascii="Arial" w:hAnsi="Arial"/>
          <w:i w:val="0"/>
          <w:sz w:val="20"/>
        </w:rPr>
        <w:t>, Tirant lo Blanch, México, 2022.</w:t>
      </w:r>
    </w:p>
    <w:p>
      <w:pPr>
        <w:spacing w:after="60"/>
        <w:ind w:left="360" w:hanging="360"/>
        <w:jc w:val="both"/>
      </w:pPr>
      <w:r>
        <w:rPr>
          <w:rFonts w:ascii="Arial" w:hAnsi="Arial"/>
          <w:i w:val="0"/>
          <w:sz w:val="20"/>
        </w:rPr>
        <w:t xml:space="preserve">MORA RAMIREZ, Rafael, </w:t>
      </w:r>
      <w:r>
        <w:rPr>
          <w:rFonts w:ascii="Arial" w:hAnsi="Arial"/>
          <w:i/>
          <w:sz w:val="20"/>
        </w:rPr>
        <w:t>Para comprender a las falacias</w:t>
      </w:r>
      <w:r>
        <w:rPr>
          <w:rFonts w:ascii="Arial" w:hAnsi="Arial"/>
          <w:i w:val="0"/>
          <w:sz w:val="20"/>
        </w:rPr>
        <w:t>, Acuedu Ediciones, s. f.</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