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QUEJA. DESECHAMIENTO DE AMPARO POR PENSIÓN CONTRACTUAL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Abre el machote y sustituye los campos entre corchetes con los datos de tu expediente; después transcribe la consideración exacta del auto que combates y verifica que la premisa menor coincida con tu caso: pensión nacida de contrato colectivo y disminución del monto. El agravio está pensado para presentarse dentro del escrito de recurso de queja, por conducto del órgano que dictó el desechamiento.</w:t>
      </w:r>
    </w:p>
    <w:p>
      <w:pPr>
        <w:spacing w:line="360" w:lineRule="auto"/>
        <w:jc w:val="both"/>
      </w:pPr>
      <w:r>
        <w:rPr>
          <w:rFonts w:ascii="Arial" w:hAnsi="Arial"/>
          <w:b/>
          <w:i w:val="0"/>
          <w:sz w:val="24"/>
        </w:rPr>
        <w:t>[ÓRGANO JURISDICCIONAL DE DISTRITO QUE DICTÓ EL AUTO]</w:t>
      </w:r>
      <w:r>
        <w:rPr>
          <w:rFonts w:ascii="Arial" w:hAnsi="Arial"/>
          <w:b w:val="0"/>
          <w:i w:val="0"/>
          <w:sz w:val="24"/>
        </w:rPr>
        <w:t>: juzgado de distrito que desechó la demanda.</w:t>
      </w:r>
    </w:p>
    <w:p>
      <w:pPr>
        <w:spacing w:line="360" w:lineRule="auto"/>
        <w:jc w:val="both"/>
      </w:pPr>
      <w:r>
        <w:rPr>
          <w:rFonts w:ascii="Arial" w:hAnsi="Arial"/>
          <w:b/>
          <w:i w:val="0"/>
          <w:sz w:val="24"/>
        </w:rPr>
        <w:t>[FECHA DE NOTIFICACIÓN DEL AUTO RECURRIDO]</w:t>
      </w:r>
      <w:r>
        <w:rPr>
          <w:rFonts w:ascii="Arial" w:hAnsi="Arial"/>
          <w:b w:val="0"/>
          <w:i w:val="0"/>
          <w:sz w:val="24"/>
        </w:rPr>
        <w:t>: día en que surtió efectos la notificación, para acreditar la oportunidad.</w:t>
      </w:r>
    </w:p>
    <w:p>
      <w:pPr>
        <w:spacing w:line="360" w:lineRule="auto"/>
        <w:jc w:val="both"/>
      </w:pPr>
      <w:r>
        <w:rPr>
          <w:rFonts w:ascii="Arial" w:hAnsi="Arial"/>
          <w:b/>
          <w:i w:val="0"/>
          <w:sz w:val="24"/>
        </w:rPr>
        <w:t>[FECHA DEL AUTO RECURRIDO]</w:t>
      </w:r>
      <w:r>
        <w:rPr>
          <w:rFonts w:ascii="Arial" w:hAnsi="Arial"/>
          <w:b w:val="0"/>
          <w:i w:val="0"/>
          <w:sz w:val="24"/>
        </w:rPr>
        <w:t>: fecha del auto de desechamiento.</w:t>
      </w:r>
    </w:p>
    <w:p>
      <w:pPr>
        <w:spacing w:line="360" w:lineRule="auto"/>
        <w:jc w:val="both"/>
      </w:pPr>
      <w:r>
        <w:rPr>
          <w:rFonts w:ascii="Arial" w:hAnsi="Arial"/>
          <w:b/>
          <w:i w:val="0"/>
          <w:sz w:val="24"/>
        </w:rPr>
        <w:t>[NÚMERO DE EXPEDIENTE DEL JUICIO DE AMPARO]</w:t>
      </w:r>
      <w:r>
        <w:rPr>
          <w:rFonts w:ascii="Arial" w:hAnsi="Arial"/>
          <w:b w:val="0"/>
          <w:i w:val="0"/>
          <w:sz w:val="24"/>
        </w:rPr>
        <w:t>: expediente del amparo indirecto desechado.</w:t>
      </w:r>
    </w:p>
    <w:p>
      <w:pPr>
        <w:spacing w:line="360" w:lineRule="auto"/>
        <w:jc w:val="both"/>
      </w:pPr>
      <w:r>
        <w:rPr>
          <w:rFonts w:ascii="Arial" w:hAnsi="Arial"/>
          <w:b/>
          <w:i w:val="0"/>
          <w:sz w:val="24"/>
        </w:rPr>
        <w:t>[NOMBRE DE LA PERSONA QUEJOSA]</w:t>
      </w:r>
      <w:r>
        <w:rPr>
          <w:rFonts w:ascii="Arial" w:hAnsi="Arial"/>
          <w:b w:val="0"/>
          <w:i w:val="0"/>
          <w:sz w:val="24"/>
        </w:rPr>
        <w:t>: nombre completo de quien promueve.</w:t>
      </w:r>
    </w:p>
    <w:p>
      <w:pPr>
        <w:spacing w:line="360" w:lineRule="auto"/>
        <w:jc w:val="both"/>
      </w:pPr>
      <w:r>
        <w:rPr>
          <w:rFonts w:ascii="Arial" w:hAnsi="Arial"/>
          <w:b/>
          <w:i w:val="0"/>
          <w:sz w:val="24"/>
        </w:rPr>
        <w:t>[AUTORIDAD SEÑALADA COMO RESPONSABLE]</w:t>
      </w:r>
      <w:r>
        <w:rPr>
          <w:rFonts w:ascii="Arial" w:hAnsi="Arial"/>
          <w:b w:val="0"/>
          <w:i w:val="0"/>
          <w:sz w:val="24"/>
        </w:rPr>
        <w:t>: autoridad a la que se atribuye la disminución de la pensión.</w:t>
      </w:r>
    </w:p>
    <w:p>
      <w:pPr>
        <w:spacing w:line="360" w:lineRule="auto"/>
        <w:jc w:val="both"/>
      </w:pPr>
      <w:r>
        <w:rPr>
          <w:rFonts w:ascii="Arial" w:hAnsi="Arial"/>
          <w:b/>
          <w:i w:val="0"/>
          <w:sz w:val="24"/>
        </w:rPr>
        <w:t>[MOTIVO DE IMPROCEDENCIA INVOCADO POR EL JUZGADO]</w:t>
      </w:r>
      <w:r>
        <w:rPr>
          <w:rFonts w:ascii="Arial" w:hAnsi="Arial"/>
          <w:b w:val="0"/>
          <w:i w:val="0"/>
          <w:sz w:val="24"/>
        </w:rPr>
        <w:t>: causa legal exacta en que se apoyó el desechamiento.</w:t>
      </w:r>
    </w:p>
    <w:p>
      <w:pPr>
        <w:spacing w:line="360" w:lineRule="auto"/>
        <w:jc w:val="both"/>
      </w:pPr>
      <w:r>
        <w:rPr>
          <w:rFonts w:ascii="Arial" w:hAnsi="Arial"/>
          <w:b/>
          <w:i w:val="0"/>
          <w:sz w:val="24"/>
        </w:rPr>
        <w:t>[FOJA O CONSIDERANDO DEL AUTO RECURRIDO]</w:t>
      </w:r>
      <w:r>
        <w:rPr>
          <w:rFonts w:ascii="Arial" w:hAnsi="Arial"/>
          <w:b w:val="0"/>
          <w:i w:val="0"/>
          <w:sz w:val="24"/>
        </w:rPr>
        <w:t>: ubicación precisa de la consideración que se combate.</w:t>
      </w:r>
    </w:p>
    <w:p>
      <w:pPr>
        <w:spacing w:line="360" w:lineRule="auto"/>
        <w:jc w:val="both"/>
      </w:pPr>
      <w:r>
        <w:rPr>
          <w:rFonts w:ascii="Arial" w:hAnsi="Arial"/>
          <w:b/>
          <w:i w:val="0"/>
          <w:sz w:val="24"/>
        </w:rPr>
        <w:t>[CLÁUSULA DEL CONTRATO COLECTIVO QUE PREVÉ LA JUBILACIÓN]</w:t>
      </w:r>
      <w:r>
        <w:rPr>
          <w:rFonts w:ascii="Arial" w:hAnsi="Arial"/>
          <w:b w:val="0"/>
          <w:i w:val="0"/>
          <w:sz w:val="24"/>
        </w:rPr>
        <w:t>: cláusula que reconoce el derecho a la jubilación.</w:t>
      </w:r>
    </w:p>
    <w:p>
      <w:pPr>
        <w:spacing w:line="360" w:lineRule="auto"/>
        <w:jc w:val="both"/>
      </w:pPr>
      <w:r>
        <w:rPr>
          <w:rFonts w:ascii="Arial" w:hAnsi="Arial"/>
          <w:b/>
          <w:i w:val="0"/>
          <w:sz w:val="24"/>
        </w:rPr>
        <w:t>[DENOMINACIÓN DE LA UNIVERSIDAD O EMPLEADORA]</w:t>
      </w:r>
      <w:r>
        <w:rPr>
          <w:rFonts w:ascii="Arial" w:hAnsi="Arial"/>
          <w:b w:val="0"/>
          <w:i w:val="0"/>
          <w:sz w:val="24"/>
        </w:rPr>
        <w:t>: nombre de la institución o empresa que pactó el contrato colectivo.</w:t>
      </w:r>
    </w:p>
    <w:p>
      <w:pPr>
        <w:spacing w:line="360" w:lineRule="auto"/>
        <w:jc w:val="both"/>
      </w:pPr>
      <w:r>
        <w:rPr>
          <w:rFonts w:ascii="Arial" w:hAnsi="Arial"/>
          <w:b/>
          <w:i w:val="0"/>
          <w:sz w:val="24"/>
        </w:rPr>
        <w:t>[DENOMINACIÓN DEL SINDICATO]</w:t>
      </w:r>
      <w:r>
        <w:rPr>
          <w:rFonts w:ascii="Arial" w:hAnsi="Arial"/>
          <w:b w:val="0"/>
          <w:i w:val="0"/>
          <w:sz w:val="24"/>
        </w:rPr>
        <w:t>: sindicato firmante del contrato colectivo.</w:t>
      </w:r>
    </w:p>
    <w:p>
      <w:pPr>
        <w:spacing w:line="360" w:lineRule="auto"/>
        <w:jc w:val="both"/>
      </w:pPr>
      <w:r>
        <w:rPr>
          <w:rFonts w:ascii="Arial" w:hAnsi="Arial"/>
          <w:b/>
          <w:i w:val="0"/>
          <w:sz w:val="24"/>
        </w:rPr>
        <w:t>[MONTO MENSUAL ORIGINAL DE LA PENSIÓN]</w:t>
      </w:r>
      <w:r>
        <w:rPr>
          <w:rFonts w:ascii="Arial" w:hAnsi="Arial"/>
          <w:b w:val="0"/>
          <w:i w:val="0"/>
          <w:sz w:val="24"/>
        </w:rPr>
        <w:t>: cantidad que se venía recibiendo antes de la reducción.</w:t>
      </w:r>
    </w:p>
    <w:p>
      <w:pPr>
        <w:spacing w:line="360" w:lineRule="auto"/>
        <w:jc w:val="both"/>
      </w:pPr>
      <w:r>
        <w:rPr>
          <w:rFonts w:ascii="Arial" w:hAnsi="Arial"/>
          <w:b/>
          <w:i w:val="0"/>
          <w:sz w:val="24"/>
        </w:rPr>
        <w:t>[FECHA EN QUE SE RESINTIÓ LA DISMINUCIÓN]</w:t>
      </w:r>
      <w:r>
        <w:rPr>
          <w:rFonts w:ascii="Arial" w:hAnsi="Arial"/>
          <w:b w:val="0"/>
          <w:i w:val="0"/>
          <w:sz w:val="24"/>
        </w:rPr>
        <w:t>: primer pago en que se reflejó la reducción.</w:t>
      </w:r>
    </w:p>
    <w:p>
      <w:pPr>
        <w:spacing w:line="360" w:lineRule="auto"/>
        <w:jc w:val="both"/>
      </w:pPr>
      <w:r>
        <w:rPr>
          <w:rFonts w:ascii="Arial" w:hAnsi="Arial"/>
          <w:b/>
          <w:i w:val="0"/>
          <w:sz w:val="24"/>
        </w:rPr>
        <w:t>[MONTO MENSUAL REDUCIDO]</w:t>
      </w:r>
      <w:r>
        <w:rPr>
          <w:rFonts w:ascii="Arial" w:hAnsi="Arial"/>
          <w:b w:val="0"/>
          <w:i w:val="0"/>
          <w:sz w:val="24"/>
        </w:rPr>
        <w:t>: cantidad efectivamente pagada tras la disminución.</w:t>
      </w:r>
    </w:p>
    <w:p/>
    <w:p>
      <w:pPr>
        <w:spacing w:line="360" w:lineRule="auto"/>
        <w:jc w:val="both"/>
      </w:pPr>
      <w:r>
        <w:rPr>
          <w:rFonts w:ascii="Arial" w:hAnsi="Arial"/>
          <w:b/>
          <w:sz w:val="28"/>
        </w:rPr>
        <w:t>RECURSO DE QUEJA. AGRAVIO CONTRA EL AUTO QUE DESECHÓ LA DEMANDA DE AMPARO INDIRECTO PROMOVIDA CONTRA LA DISMINUCIÓN DE UNA PENSIÓN POR JUBILACIÓN PACTADA EN CONTRATO COLECTIVO DE TRABAJO.</w:t>
      </w:r>
    </w:p>
    <w:p>
      <w:pPr>
        <w:spacing w:line="360" w:lineRule="auto"/>
        <w:jc w:val="both"/>
      </w:pPr>
      <w:r>
        <w:rPr>
          <w:rFonts w:ascii="Arial" w:hAnsi="Arial"/>
          <w:b w:val="0"/>
          <w:i w:val="0"/>
          <w:sz w:val="28"/>
        </w:rPr>
        <w:t xml:space="preserve">Este apartado está diseñado para el recurso de queja previsto en el artículo 97, fracción I, inciso a), de la Ley de Amparo, que procede contra las resoluciones que desechan una demanda de amparo indirecto. Se interpone por conducto de </w:t>
      </w:r>
      <w:r>
        <w:rPr>
          <w:rFonts w:ascii="Arial" w:hAnsi="Arial"/>
          <w:b/>
          <w:i w:val="0"/>
          <w:sz w:val="28"/>
        </w:rPr>
        <w:t>[ÓRGANO JURISDICCIONAL DE DISTRITO QUE DICTÓ EL AUTO]</w:t>
      </w:r>
      <w:r>
        <w:rPr>
          <w:rFonts w:ascii="Arial" w:hAnsi="Arial"/>
          <w:b w:val="0"/>
          <w:i w:val="0"/>
          <w:sz w:val="28"/>
        </w:rPr>
        <w:t xml:space="preserve">, dentro del plazo legal contado a partir de que surtió efectos la notificación practicada el </w:t>
      </w:r>
      <w:r>
        <w:rPr>
          <w:rFonts w:ascii="Arial" w:hAnsi="Arial"/>
          <w:b/>
          <w:i w:val="0"/>
          <w:sz w:val="28"/>
        </w:rPr>
        <w:t>[FECHA DE NOTIFICACIÓN DEL AUTO RECURRIDO]</w:t>
      </w:r>
      <w:r>
        <w:rPr>
          <w:rFonts w:ascii="Arial" w:hAnsi="Arial"/>
          <w:b w:val="0"/>
          <w:i w:val="0"/>
          <w:sz w:val="28"/>
        </w:rPr>
        <w:t>, y debe resolverlo el Tribunal Colegiado de Circuito especializado en materia de trabajo, como se demostrará en el propio agravio.</w:t>
      </w:r>
    </w:p>
    <w:p>
      <w:pPr>
        <w:spacing w:line="360" w:lineRule="auto"/>
        <w:jc w:val="both"/>
      </w:pPr>
      <w:r>
        <w:rPr>
          <w:rFonts w:ascii="Arial" w:hAnsi="Arial"/>
          <w:b w:val="0"/>
          <w:i w:val="0"/>
          <w:sz w:val="28"/>
        </w:rPr>
        <w:t xml:space="preserve">La resolución recurrida es el auto de </w:t>
      </w:r>
      <w:r>
        <w:rPr>
          <w:rFonts w:ascii="Arial" w:hAnsi="Arial"/>
          <w:b/>
          <w:i w:val="0"/>
          <w:sz w:val="28"/>
        </w:rPr>
        <w:t>[FECHA DEL AUTO RECURRIDO]</w:t>
      </w:r>
      <w:r>
        <w:rPr>
          <w:rFonts w:ascii="Arial" w:hAnsi="Arial"/>
          <w:b w:val="0"/>
          <w:i w:val="0"/>
          <w:sz w:val="28"/>
        </w:rPr>
        <w:t xml:space="preserve">, dictado en el expediente </w:t>
      </w:r>
      <w:r>
        <w:rPr>
          <w:rFonts w:ascii="Arial" w:hAnsi="Arial"/>
          <w:b/>
          <w:i w:val="0"/>
          <w:sz w:val="28"/>
        </w:rPr>
        <w:t>[NÚMERO DE EXPEDIENTE DEL JUICIO DE AMPARO]</w:t>
      </w:r>
      <w:r>
        <w:rPr>
          <w:rFonts w:ascii="Arial" w:hAnsi="Arial"/>
          <w:b w:val="0"/>
          <w:i w:val="0"/>
          <w:sz w:val="28"/>
        </w:rPr>
        <w:t xml:space="preserve">, que desechó de plano la demanda promovida por </w:t>
      </w:r>
      <w:r>
        <w:rPr>
          <w:rFonts w:ascii="Arial" w:hAnsi="Arial"/>
          <w:b/>
          <w:i w:val="0"/>
          <w:sz w:val="28"/>
        </w:rPr>
        <w:t>[NOMBRE DE LA PERSONA QUEJOSA]</w:t>
      </w:r>
      <w:r>
        <w:rPr>
          <w:rFonts w:ascii="Arial" w:hAnsi="Arial"/>
          <w:b w:val="0"/>
          <w:i w:val="0"/>
          <w:sz w:val="28"/>
        </w:rPr>
        <w:t xml:space="preserve"> contra la disminución del monto de su pensión por jubilación, acto atribuido a </w:t>
      </w:r>
      <w:r>
        <w:rPr>
          <w:rFonts w:ascii="Arial" w:hAnsi="Arial"/>
          <w:b/>
          <w:i w:val="0"/>
          <w:sz w:val="28"/>
        </w:rPr>
        <w:t>[AUTORIDAD SEÑALADA COMO RESPONSABLE]</w:t>
      </w:r>
      <w:r>
        <w:rPr>
          <w:rFonts w:ascii="Arial" w:hAnsi="Arial"/>
          <w:b w:val="0"/>
          <w:i w:val="0"/>
          <w:sz w:val="28"/>
        </w:rPr>
        <w:t>.</w:t>
      </w:r>
    </w:p>
    <w:p>
      <w:pPr>
        <w:spacing w:line="360" w:lineRule="auto"/>
        <w:jc w:val="both"/>
      </w:pPr>
      <w:r>
        <w:rPr>
          <w:rFonts w:ascii="Arial" w:hAnsi="Arial"/>
          <w:b/>
          <w:sz w:val="28"/>
        </w:rPr>
        <w:t>AGRAVIO ÚNICO. Indebida calificación de la naturaleza del acto reclamado: el desechamiento descansa en la premisa, contraria a jurisprudencia obligatoria, de que la controversia sobre una pensión jubilatoria de origen contractual es ajena a la materia laboral.</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El auto recurrido viola los artículos 14, 16 y 17 de la Constitución Política de los Estados Unidos Mexicanos, en relación con el artículo 113 de la Ley de Amparo, porque desechó de plano la demanda con apoyo en </w:t>
      </w:r>
      <w:r>
        <w:rPr>
          <w:rFonts w:ascii="Arial" w:hAnsi="Arial"/>
          <w:b/>
          <w:i w:val="0"/>
          <w:sz w:val="28"/>
        </w:rPr>
        <w:t>[MOTIVO DE IMPROCEDENCIA INVOCADO POR EL JUZGADO]</w:t>
      </w:r>
      <w:r>
        <w:rPr>
          <w:rFonts w:ascii="Arial" w:hAnsi="Arial"/>
          <w:b w:val="0"/>
          <w:i w:val="0"/>
          <w:sz w:val="28"/>
        </w:rPr>
        <w:t>, razonamiento que reposa en una sola premisa: que la pensión por jubilación, una vez concluido el vínculo de trabajo, genera una relación administrativa o de seguridad social ajena a la materia laboral.</w:t>
      </w:r>
    </w:p>
    <w:p>
      <w:pPr>
        <w:spacing w:line="360" w:lineRule="auto"/>
        <w:jc w:val="both"/>
      </w:pPr>
      <w:r>
        <w:rPr>
          <w:rFonts w:ascii="Arial" w:hAnsi="Arial"/>
          <w:b w:val="0"/>
          <w:i w:val="0"/>
          <w:sz w:val="28"/>
        </w:rPr>
        <w:t>Se demostrará que esa premisa contradice jurisprudencia obligatoria del Pleno Regional en Materias Penal y de Trabajo de la Región Centro-Norte y que, por lo mismo, la causa invocada no es manifiesta ni indudable.</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En el considerando </w:t>
      </w:r>
      <w:r>
        <w:rPr>
          <w:rFonts w:ascii="Arial" w:hAnsi="Arial"/>
          <w:b/>
          <w:i w:val="0"/>
          <w:sz w:val="28"/>
        </w:rPr>
        <w:t>[FOJA O CONSIDERANDO DEL AUTO RECURRIDO]</w:t>
      </w:r>
      <w:r>
        <w:rPr>
          <w:rFonts w:ascii="Arial" w:hAnsi="Arial"/>
          <w:b w:val="0"/>
          <w:i w:val="0"/>
          <w:sz w:val="28"/>
        </w:rPr>
        <w:t>, la persona juzgadora de distrito sostuvo, en esencia, que el acto reclamado no es de naturaleza laboral porque la persona quejosa ya no es trabajadora en activo, sino pensionada, y que toda controversia sobre el monto de una pensión pertenece al ámbito administrativo o de la seguridad social. A partir de esa calificación concluyó que la demanda resultaba improcedente y la desechó sin darle trámite alguno.</w:t>
      </w:r>
    </w:p>
    <w:p>
      <w:pPr>
        <w:spacing w:line="360" w:lineRule="auto"/>
        <w:jc w:val="both"/>
      </w:pPr>
      <w:r>
        <w:rPr>
          <w:rFonts w:ascii="Arial" w:hAnsi="Arial"/>
          <w:b w:val="0"/>
          <w:i w:val="0"/>
          <w:sz w:val="28"/>
        </w:rPr>
        <w:t>Este agravio no repite la demanda de amparo: muerde precisamente esa consideración, que es la única en que se apoya el desechamiento, y demuestra que es ilegal en su premisa, en su inferencia y en su conclusión. Con ello se satisface la carga técnica de todo agravio en un recurso, consistente en combatir de manera frontal las razones de la resolución recurrida y no el acto originario.</w:t>
      </w:r>
    </w:p>
    <w:p>
      <w:pPr>
        <w:spacing w:line="360" w:lineRule="auto"/>
        <w:jc w:val="both"/>
      </w:pPr>
      <w:r>
        <w:rPr>
          <w:rFonts w:ascii="Arial" w:hAnsi="Arial"/>
          <w:b w:val="0"/>
          <w:i w:val="0"/>
          <w:sz w:val="28"/>
        </w:rPr>
        <w:t>El perjuicio es directo e inmediato: la persona quejosa quedó privada del acceso a la justicia federal desde el umbral, sin informes justificados, sin audiencia constitucional y sin material probatorio, pese a que el artículo 113 de la Ley de Amparo únicamente autoriza el desechamiento de plano cuando existe una causa manifiesta e indudable de improcedencia, es decir, una que se advierta con evidencia, sin necesidad de un examen profundo. Calificar la naturaleza jurídica de una pensión pactada en contrato colectivo exige, precisamente, ese examen profundo; por definición, no puede sustentar un desechamiento de plano.</w:t>
      </w:r>
    </w:p>
    <w:p>
      <w:pPr>
        <w:spacing w:line="360" w:lineRule="auto"/>
        <w:jc w:val="both"/>
      </w:pPr>
      <w:r>
        <w:rPr>
          <w:rFonts w:ascii="Arial" w:hAnsi="Arial"/>
          <w:b/>
          <w:sz w:val="28"/>
        </w:rPr>
        <w:t>III. Desarrollo doctrinal y jurisprudencial. Premisa mayor.</w:t>
      </w:r>
    </w:p>
    <w:p>
      <w:pPr>
        <w:spacing w:line="360" w:lineRule="auto"/>
        <w:jc w:val="both"/>
      </w:pPr>
      <w:r>
        <w:rPr>
          <w:rFonts w:ascii="Arial" w:hAnsi="Arial"/>
          <w:b w:val="0"/>
          <w:i w:val="0"/>
          <w:sz w:val="28"/>
        </w:rPr>
        <w:t>La competencia por materia es consecuencia de la especialización de los órganos jurisdiccionales: la doctrina procesal constitucional explica que la especialización lleva a determinar los diversos ámbitos o esferas de competencia jurisdiccional, los cuales se distribuyen dependiendo de la rama del derecho material de que se trate.</w:t>
      </w:r>
      <w:r>
        <w:rPr>
          <w:rFonts w:ascii="Arial" w:hAnsi="Arial"/>
          <w:vertAlign w:val="superscript"/>
        </w:rPr>
        <w:t>1</w:t>
      </w:r>
      <w:r>
        <w:rPr>
          <w:rFonts w:ascii="Arial" w:hAnsi="Arial"/>
          <w:b w:val="0"/>
          <w:i w:val="0"/>
          <w:sz w:val="28"/>
        </w:rPr>
        <w:t xml:space="preserve"> De esa premisa se sigue que el órgano competente se identifica atendiendo a la relación jurídica sustantiva que subyace al litigio; trasladado al juicio de amparo, ello significa que la materia del asunto la define el acto reclamado y su origen, no la denominación de la autoridad que lo emite.</w:t>
      </w:r>
    </w:p>
    <w:p>
      <w:pPr>
        <w:spacing w:line="360" w:lineRule="auto"/>
        <w:jc w:val="both"/>
      </w:pPr>
      <w:r>
        <w:rPr>
          <w:rFonts w:ascii="Arial" w:hAnsi="Arial"/>
          <w:b w:val="0"/>
          <w:i w:val="0"/>
          <w:sz w:val="28"/>
        </w:rPr>
        <w:t>La propia doctrina judicial de la argumentación registra que un acto formalmente administrativo puede ser, por su naturaleza intrínseca, materialmente de una rama distinta, y que la competencia para conocer del juicio de amparo en su contra sigue a esa naturaleza intrínseca y no a la envoltura formal del acto.</w:t>
      </w:r>
      <w:r>
        <w:rPr>
          <w:rFonts w:ascii="Arial" w:hAnsi="Arial"/>
          <w:vertAlign w:val="superscript"/>
        </w:rPr>
        <w:t>2</w:t>
      </w:r>
      <w:r>
        <w:rPr>
          <w:rFonts w:ascii="Arial" w:hAnsi="Arial"/>
          <w:b w:val="0"/>
          <w:i w:val="0"/>
          <w:sz w:val="28"/>
        </w:rPr>
        <w:t xml:space="preserve"> La operación correcta consiste, entonces, en preguntarse de qué relación jurídica nació el derecho controvertido, y no quién lo afectó ni en qué momento de la vida de su titular.</w:t>
      </w:r>
    </w:p>
    <w:p>
      <w:pPr>
        <w:spacing w:line="360" w:lineRule="auto"/>
        <w:jc w:val="both"/>
      </w:pPr>
      <w:r>
        <w:rPr>
          <w:rFonts w:ascii="Arial" w:hAnsi="Arial"/>
          <w:b w:val="0"/>
          <w:i w:val="0"/>
          <w:sz w:val="28"/>
        </w:rPr>
        <w:t xml:space="preserve">En el derecho del trabajo, las condiciones que superan los mínimos constitucionales y legales reciben el nombre técnico de </w:t>
      </w:r>
      <w:r>
        <w:rPr>
          <w:rFonts w:ascii="Arial" w:hAnsi="Arial"/>
          <w:b w:val="0"/>
          <w:i/>
          <w:sz w:val="28"/>
        </w:rPr>
        <w:t>«prestaciones extralegales»</w:t>
      </w:r>
      <w:r>
        <w:rPr>
          <w:rFonts w:ascii="Arial" w:hAnsi="Arial"/>
          <w:b w:val="0"/>
          <w:i w:val="0"/>
          <w:sz w:val="28"/>
        </w:rPr>
        <w:t>: beneficios pactados en convenios que mejoran lo establecido en la Ley Federal del Trabajo y que normalmente se consiguen a través de los sindicatos, pues los principios del artículo 123 constitucional constituyen sólo el piso de los derechos de las personas trabajadoras.</w:t>
      </w:r>
      <w:r>
        <w:rPr>
          <w:rFonts w:ascii="Arial" w:hAnsi="Arial"/>
          <w:vertAlign w:val="superscript"/>
        </w:rPr>
        <w:t>3</w:t>
      </w:r>
    </w:p>
    <w:p>
      <w:pPr>
        <w:spacing w:line="360" w:lineRule="auto"/>
        <w:jc w:val="both"/>
      </w:pPr>
      <w:r>
        <w:rPr>
          <w:rFonts w:ascii="Arial" w:hAnsi="Arial"/>
          <w:b w:val="0"/>
          <w:i w:val="0"/>
          <w:sz w:val="28"/>
        </w:rPr>
        <w:t>La jubilación es el ejemplo clásico de esa categoría: la doctrina la define como el derecho al retiro remunerado del trabajador que, tras un periodo de servicios, alcanza determinada edad, y subraya que la figura no está regulada en la Ley Federal del Trabajo, sino que sólo algunos contratos colectivos la consignan, de donde deriva su carácter convencional.</w:t>
      </w:r>
      <w:r>
        <w:rPr>
          <w:rFonts w:ascii="Arial" w:hAnsi="Arial"/>
          <w:vertAlign w:val="superscript"/>
        </w:rPr>
        <w:t>4</w:t>
      </w:r>
      <w:r>
        <w:rPr>
          <w:rFonts w:ascii="Arial" w:hAnsi="Arial"/>
          <w:b w:val="0"/>
          <w:i w:val="0"/>
          <w:sz w:val="28"/>
        </w:rPr>
        <w:t xml:space="preserve"> Si la fuente del derecho es el pacto colectivo, la relación jurídica que lo sostiene es laboral, con independencia del momento en que el beneficio se disfrute.</w:t>
      </w:r>
    </w:p>
    <w:p>
      <w:pPr>
        <w:spacing w:line="360" w:lineRule="auto"/>
        <w:jc w:val="both"/>
      </w:pPr>
      <w:r>
        <w:rPr>
          <w:rFonts w:ascii="Arial" w:hAnsi="Arial"/>
          <w:b w:val="0"/>
          <w:i w:val="0"/>
          <w:sz w:val="28"/>
        </w:rPr>
        <w:t>Ese razonamiento es hoy jurisprudencia obligatoria. El Pleno Regional en Materias Penal y de Trabajo de la Región Centro-Norte, con residencia en la Ciudad de México, al resolver los conflictos competenciales suscitados entre tribunales colegiados especializados en materias de trabajo y administrativa, emitió la jurisprudencia de clave PR.P.T.CN. J/13 L (12a.), registro digital 2032514, publicada en el Semanario Judicial de la Federación el viernes 21 de agosto de 2026 y de aplicación obligatoria a partir del lunes 24 de agosto de 2026, cuyo rubro es el siguiente.</w:t>
      </w:r>
    </w:p>
    <w:p>
      <w:pPr>
        <w:spacing w:line="360" w:lineRule="auto"/>
        <w:jc w:val="both"/>
      </w:pPr>
      <w:r>
        <w:rPr>
          <w:rFonts w:ascii="Arial" w:hAnsi="Arial"/>
          <w:b w:val="0"/>
          <w:i/>
          <w:sz w:val="28"/>
        </w:rPr>
        <w:t>«COMPETENCIA POR MATERIA PARA CONOCER DEL RECURSO DE QUEJA INTERPUESTO CONTRA EL DESECHAMIENTO DE LA DEMANDA DE AMPARO INDIRECTO EN LA QUE SE RECLAMA LA DISMINUCIÓN EN EL MONTO DE UNA PENSIÓN POR JUBILACIÓN OTORGADA CONFORME AL CONTRATO COLECTIVO DE TRABAJO CELEBRADO ENTRE LA UNIVERSIDAD AUTÓNOMA DE SINALOA Y SU SINDICATO. CORRESPONDE A UN TRIBUNAL COLEGIADO DE CIRCUITO ESPECIALIZADO EN MATERIA LABORAL.»</w:t>
      </w:r>
    </w:p>
    <w:p>
      <w:pPr>
        <w:spacing w:line="360" w:lineRule="auto"/>
        <w:jc w:val="both"/>
      </w:pPr>
      <w:r>
        <w:rPr>
          <w:rFonts w:ascii="Arial" w:hAnsi="Arial"/>
          <w:b w:val="0"/>
          <w:i w:val="0"/>
          <w:sz w:val="28"/>
        </w:rPr>
        <w:t xml:space="preserve">Su criterio jurídico dispone textualmente: </w:t>
      </w:r>
      <w:r>
        <w:rPr>
          <w:rFonts w:ascii="Arial" w:hAnsi="Arial"/>
          <w:b w:val="0"/>
          <w:i/>
          <w:sz w:val="28"/>
        </w:rPr>
        <w:t>«El Tribunal Colegiado de Circuito en Materia de Trabajo es competente para conocer del recurso de queja interpuesto contra el desechamiento de una demanda de amparo indirecto en la que se reclama la disminución en el monto de la pensión por jubilación otorgada a la persona quejosa conforme al contrato colectivo de trabajo celebrado entre la Universidad Autónoma de Sinaloa y su sindicato.»</w:t>
      </w:r>
    </w:p>
    <w:p>
      <w:pPr>
        <w:spacing w:line="360" w:lineRule="auto"/>
        <w:jc w:val="both"/>
      </w:pPr>
      <w:r>
        <w:rPr>
          <w:rFonts w:ascii="Arial" w:hAnsi="Arial"/>
          <w:b w:val="0"/>
          <w:i w:val="0"/>
          <w:sz w:val="28"/>
        </w:rPr>
        <w:t xml:space="preserve">En la justificación, el Pleno Regional razonó que la jubilación pactada colectivamente constituye una prestación extralegal, pues no tiene fundamento en la Constitución Federal ni en la Ley Federal del Trabajo, sino en un acuerdo de voluntades, y sostuvo que </w:t>
      </w:r>
      <w:r>
        <w:rPr>
          <w:rFonts w:ascii="Arial" w:hAnsi="Arial"/>
          <w:b w:val="0"/>
          <w:i/>
          <w:sz w:val="28"/>
        </w:rPr>
        <w:t>«cuando la jubilación y sus prestaciones accesorias encuentran su fuente en un contrato colectivo de trabajo, no pueden desvincularse de la naturaleza laboral de la relación jurídica que les dio origen, aun cuando su disfrute se materialice con posterioridad a la terminación del vínculo de trabajo»</w:t>
      </w:r>
      <w:r>
        <w:rPr>
          <w:rFonts w:ascii="Arial" w:hAnsi="Arial"/>
          <w:b w:val="0"/>
          <w:i w:val="0"/>
          <w:sz w:val="28"/>
        </w:rPr>
        <w:t>.</w:t>
      </w:r>
    </w:p>
    <w:p>
      <w:pPr>
        <w:spacing w:line="360" w:lineRule="auto"/>
        <w:jc w:val="both"/>
      </w:pPr>
      <w:r>
        <w:rPr>
          <w:rFonts w:ascii="Arial" w:hAnsi="Arial"/>
          <w:b w:val="0"/>
          <w:i w:val="0"/>
          <w:sz w:val="28"/>
        </w:rPr>
        <w:t xml:space="preserve">Agregó que en ese supuesto </w:t>
      </w:r>
      <w:r>
        <w:rPr>
          <w:rFonts w:ascii="Arial" w:hAnsi="Arial"/>
          <w:b w:val="0"/>
          <w:i/>
          <w:sz w:val="28"/>
        </w:rPr>
        <w:t>«no se actualiza subrogación alguna por parte del Instituto Mexicano del Seguro Social, pues tal pago no guarda relación con el derecho a la seguridad social, sino que reviste el carácter de una sustitución al salario»</w:t>
      </w:r>
      <w:r>
        <w:rPr>
          <w:rFonts w:ascii="Arial" w:hAnsi="Arial"/>
          <w:b w:val="0"/>
          <w:i w:val="0"/>
          <w:sz w:val="28"/>
        </w:rPr>
        <w:t>, y concluyó que el acto reclamado no deriva del ejercicio de potestades administrativas, sino del cumplimiento o incumplimiento de obligaciones laborales asumidas convencionalmente, por lo que subsiste una conexión directa e inmediata con la relación de trabajo que dio origen a la jubilación.</w:t>
      </w:r>
    </w:p>
    <w:p>
      <w:pPr>
        <w:spacing w:line="360" w:lineRule="auto"/>
        <w:jc w:val="both"/>
      </w:pPr>
      <w:r>
        <w:rPr>
          <w:rFonts w:ascii="Arial" w:hAnsi="Arial"/>
          <w:b/>
          <w:sz w:val="28"/>
        </w:rPr>
        <w:t>IV. Aplicación al caso concreto y refutación de la consideración recurrida.</w:t>
      </w:r>
    </w:p>
    <w:p>
      <w:pPr>
        <w:spacing w:line="360" w:lineRule="auto"/>
        <w:jc w:val="both"/>
      </w:pPr>
      <w:r>
        <w:rPr>
          <w:rFonts w:ascii="Arial" w:hAnsi="Arial"/>
          <w:b w:val="0"/>
          <w:i w:val="0"/>
          <w:sz w:val="28"/>
        </w:rPr>
        <w:t xml:space="preserve">La premisa menor coincide con el supuesto de la jurisprudencia. </w:t>
      </w:r>
      <w:r>
        <w:rPr>
          <w:rFonts w:ascii="Arial" w:hAnsi="Arial"/>
          <w:b/>
          <w:i w:val="0"/>
          <w:sz w:val="28"/>
        </w:rPr>
        <w:t>[NOMBRE DE LA PERSONA QUEJOSA]</w:t>
      </w:r>
      <w:r>
        <w:rPr>
          <w:rFonts w:ascii="Arial" w:hAnsi="Arial"/>
          <w:b w:val="0"/>
          <w:i w:val="0"/>
          <w:sz w:val="28"/>
        </w:rPr>
        <w:t xml:space="preserve"> obtuvo su jubilación conforme a la cláusula </w:t>
      </w:r>
      <w:r>
        <w:rPr>
          <w:rFonts w:ascii="Arial" w:hAnsi="Arial"/>
          <w:b/>
          <w:i w:val="0"/>
          <w:sz w:val="28"/>
        </w:rPr>
        <w:t>[CLÁUSULA DEL CONTRATO COLECTIVO QUE PREVÉ LA JUBILACIÓN]</w:t>
      </w:r>
      <w:r>
        <w:rPr>
          <w:rFonts w:ascii="Arial" w:hAnsi="Arial"/>
          <w:b w:val="0"/>
          <w:i w:val="0"/>
          <w:sz w:val="28"/>
        </w:rPr>
        <w:t xml:space="preserve"> del contrato colectivo de trabajo celebrado entre </w:t>
      </w:r>
      <w:r>
        <w:rPr>
          <w:rFonts w:ascii="Arial" w:hAnsi="Arial"/>
          <w:b/>
          <w:i w:val="0"/>
          <w:sz w:val="28"/>
        </w:rPr>
        <w:t>[DENOMINACIÓN DE LA UNIVERSIDAD O EMPLEADORA]</w:t>
      </w:r>
      <w:r>
        <w:rPr>
          <w:rFonts w:ascii="Arial" w:hAnsi="Arial"/>
          <w:b w:val="0"/>
          <w:i w:val="0"/>
          <w:sz w:val="28"/>
        </w:rPr>
        <w:t xml:space="preserve"> y </w:t>
      </w:r>
      <w:r>
        <w:rPr>
          <w:rFonts w:ascii="Arial" w:hAnsi="Arial"/>
          <w:b/>
          <w:i w:val="0"/>
          <w:sz w:val="28"/>
        </w:rPr>
        <w:t>[DENOMINACIÓN DEL SINDICATO]</w:t>
      </w:r>
      <w:r>
        <w:rPr>
          <w:rFonts w:ascii="Arial" w:hAnsi="Arial"/>
          <w:b w:val="0"/>
          <w:i w:val="0"/>
          <w:sz w:val="28"/>
        </w:rPr>
        <w:t>, pacto que le reconoce el derecho a percibir la pensión en el monto convenido.</w:t>
      </w:r>
    </w:p>
    <w:p>
      <w:pPr>
        <w:spacing w:line="360" w:lineRule="auto"/>
        <w:jc w:val="both"/>
      </w:pPr>
      <w:r>
        <w:rPr>
          <w:rFonts w:ascii="Arial" w:hAnsi="Arial"/>
          <w:b w:val="0"/>
          <w:i w:val="0"/>
          <w:sz w:val="28"/>
        </w:rPr>
        <w:t xml:space="preserve">Venía recibiendo </w:t>
      </w:r>
      <w:r>
        <w:rPr>
          <w:rFonts w:ascii="Arial" w:hAnsi="Arial"/>
          <w:b/>
          <w:i w:val="0"/>
          <w:sz w:val="28"/>
        </w:rPr>
        <w:t>[MONTO MENSUAL ORIGINAL DE LA PENSIÓN]</w:t>
      </w:r>
      <w:r>
        <w:rPr>
          <w:rFonts w:ascii="Arial" w:hAnsi="Arial"/>
          <w:b w:val="0"/>
          <w:i w:val="0"/>
          <w:sz w:val="28"/>
        </w:rPr>
        <w:t xml:space="preserve"> y, a partir de </w:t>
      </w:r>
      <w:r>
        <w:rPr>
          <w:rFonts w:ascii="Arial" w:hAnsi="Arial"/>
          <w:b/>
          <w:i w:val="0"/>
          <w:sz w:val="28"/>
        </w:rPr>
        <w:t>[FECHA EN QUE SE RESINTIÓ LA DISMINUCIÓN]</w:t>
      </w:r>
      <w:r>
        <w:rPr>
          <w:rFonts w:ascii="Arial" w:hAnsi="Arial"/>
          <w:b w:val="0"/>
          <w:i w:val="0"/>
          <w:sz w:val="28"/>
        </w:rPr>
        <w:t xml:space="preserve">, la responsable redujo el pago a </w:t>
      </w:r>
      <w:r>
        <w:rPr>
          <w:rFonts w:ascii="Arial" w:hAnsi="Arial"/>
          <w:b/>
          <w:i w:val="0"/>
          <w:sz w:val="28"/>
        </w:rPr>
        <w:t>[MONTO MENSUAL REDUCIDO]</w:t>
      </w:r>
      <w:r>
        <w:rPr>
          <w:rFonts w:ascii="Arial" w:hAnsi="Arial"/>
          <w:b w:val="0"/>
          <w:i w:val="0"/>
          <w:sz w:val="28"/>
        </w:rPr>
        <w:t>, sin juicio previo en el que la persona quejosa hubiera sido oída y vencida.</w:t>
      </w:r>
    </w:p>
    <w:p>
      <w:pPr>
        <w:spacing w:line="360" w:lineRule="auto"/>
        <w:jc w:val="both"/>
      </w:pPr>
      <w:r>
        <w:rPr>
          <w:rFonts w:ascii="Arial" w:hAnsi="Arial"/>
          <w:b w:val="0"/>
          <w:i w:val="0"/>
          <w:sz w:val="28"/>
        </w:rPr>
        <w:t>La subsunción es directa: si el derecho cuya disminución se reclama nació de un contrato colectivo, la controversia conserva naturaleza laboral y el juicio de amparo indirecto debe tramitarse en su integridad para examinar la regularidad constitucional de la reducción. El desechamiento, construido sobre la calificación administrativa del acto, aplicó al caso una regla que la jurisprudencia transcrita excluye de manera expresa, de modo que la consideración recurrida quedó sin sustento normativo alguno.</w:t>
      </w:r>
    </w:p>
    <w:p>
      <w:pPr>
        <w:spacing w:line="360" w:lineRule="auto"/>
        <w:jc w:val="both"/>
      </w:pPr>
      <w:r>
        <w:rPr>
          <w:rFonts w:ascii="Arial" w:hAnsi="Arial"/>
          <w:b w:val="0"/>
          <w:i w:val="0"/>
          <w:sz w:val="28"/>
        </w:rPr>
        <w:t>Si el contrato colectivo del caso no es el celebrado por la Universidad Autónoma de Sinaloa, que fue el examinado por el Pleno Regional, la conclusión no cambia: la justificación del criterio descansa en razones generales, pues califica de extralegal toda jubilación cuya fuente es un acuerdo de voluntades y no la ley, de manera que resulta aplicable por identidad de razón, y apartarse de él exigiría refutar esos fundamentos, que no dependen de la identidad de la parte empleadora que suscribió el pacto.</w:t>
      </w:r>
    </w:p>
    <w:p>
      <w:pPr>
        <w:spacing w:line="360" w:lineRule="auto"/>
        <w:jc w:val="both"/>
      </w:pPr>
      <w:r>
        <w:rPr>
          <w:rFonts w:ascii="Arial" w:hAnsi="Arial"/>
          <w:b w:val="0"/>
          <w:i w:val="0"/>
          <w:sz w:val="28"/>
        </w:rPr>
        <w:t>La consideración combatida incurre, además, en la falacia de falsa analogía. La doctrina de la argumentación enseña que comete esta falacia todo argumento analógico que no se apoya en una semejanza relevante u olvida las diferencias que impiden la conclusión.</w:t>
      </w:r>
      <w:r>
        <w:rPr>
          <w:rFonts w:ascii="Arial" w:hAnsi="Arial"/>
          <w:vertAlign w:val="superscript"/>
        </w:rPr>
        <w:t>5</w:t>
      </w:r>
      <w:r>
        <w:rPr>
          <w:rFonts w:ascii="Arial" w:hAnsi="Arial"/>
          <w:b w:val="0"/>
          <w:i w:val="0"/>
          <w:sz w:val="28"/>
        </w:rPr>
        <w:t xml:space="preserve"> Eso hizo el auto: equiparó la pensión contractual con las pensiones de los regímenes de seguridad social por el solo dato de que ambas se pagan al concluir la vida activa, y olvidó la diferencia decisiva, que es la fuente de la obligación: allá, la ley; aquí, el pacto colectivo.</w:t>
      </w:r>
    </w:p>
    <w:p>
      <w:pPr>
        <w:spacing w:line="360" w:lineRule="auto"/>
        <w:jc w:val="both"/>
      </w:pPr>
      <w:r>
        <w:rPr>
          <w:rFonts w:ascii="Arial" w:hAnsi="Arial"/>
          <w:b w:val="0"/>
          <w:i w:val="0"/>
          <w:sz w:val="28"/>
        </w:rPr>
        <w:t>El razonamiento constituye también un non sequitur. La doctrina denomina así al tipo general de falacias lógicas en las cuales la conclusión no se deduce de las premisas, expresión aplicable a cualquier razonamiento inconsecuente.</w:t>
      </w:r>
      <w:r>
        <w:rPr>
          <w:rFonts w:ascii="Arial" w:hAnsi="Arial"/>
          <w:vertAlign w:val="superscript"/>
        </w:rPr>
        <w:t>6</w:t>
      </w:r>
    </w:p>
    <w:p>
      <w:pPr>
        <w:spacing w:line="360" w:lineRule="auto"/>
        <w:jc w:val="both"/>
      </w:pPr>
      <w:r>
        <w:rPr>
          <w:rFonts w:ascii="Arial" w:hAnsi="Arial"/>
          <w:b w:val="0"/>
          <w:i w:val="0"/>
          <w:sz w:val="28"/>
        </w:rPr>
        <w:t xml:space="preserve">De las premisas verdaderas </w:t>
      </w:r>
      <w:r>
        <w:rPr>
          <w:rFonts w:ascii="Arial" w:hAnsi="Arial"/>
          <w:b w:val="0"/>
          <w:i/>
          <w:sz w:val="28"/>
        </w:rPr>
        <w:t>«existe una pensión»</w:t>
      </w:r>
      <w:r>
        <w:rPr>
          <w:rFonts w:ascii="Arial" w:hAnsi="Arial"/>
          <w:b w:val="0"/>
          <w:i w:val="0"/>
          <w:sz w:val="28"/>
        </w:rPr>
        <w:t xml:space="preserve"> y </w:t>
      </w:r>
      <w:r>
        <w:rPr>
          <w:rFonts w:ascii="Arial" w:hAnsi="Arial"/>
          <w:b w:val="0"/>
          <w:i/>
          <w:sz w:val="28"/>
        </w:rPr>
        <w:t>«el vínculo de trabajo terminó»</w:t>
      </w:r>
      <w:r>
        <w:rPr>
          <w:rFonts w:ascii="Arial" w:hAnsi="Arial"/>
          <w:b w:val="0"/>
          <w:i w:val="0"/>
          <w:sz w:val="28"/>
        </w:rPr>
        <w:t xml:space="preserve"> no se sigue la conclusión </w:t>
      </w:r>
      <w:r>
        <w:rPr>
          <w:rFonts w:ascii="Arial" w:hAnsi="Arial"/>
          <w:b w:val="0"/>
          <w:i/>
          <w:sz w:val="28"/>
        </w:rPr>
        <w:t>«la controversia es administrativa»</w:t>
      </w:r>
      <w:r>
        <w:rPr>
          <w:rFonts w:ascii="Arial" w:hAnsi="Arial"/>
          <w:b w:val="0"/>
          <w:i w:val="0"/>
          <w:sz w:val="28"/>
        </w:rPr>
        <w:t>: como lo estableció el Pleno Regional, la terminación de la relación laboral no muda la naturaleza jurídica de la prestación, que subsiste conectada de manera directa e inmediata con la relación que le dio origen.</w:t>
      </w:r>
    </w:p>
    <w:p>
      <w:pPr>
        <w:spacing w:line="360" w:lineRule="auto"/>
        <w:jc w:val="both"/>
      </w:pPr>
      <w:r>
        <w:rPr>
          <w:rFonts w:ascii="Arial" w:hAnsi="Arial"/>
          <w:b w:val="0"/>
          <w:i w:val="0"/>
          <w:sz w:val="28"/>
        </w:rPr>
        <w:t>Desmontada la premisa, cae la conclusión. Si la naturaleza laboral del acto reclamado está definida por jurisprudencia obligatoria, la causa de improcedencia invocada no sólo no es manifiesta e indudable: es inexistente. ¿Y cómo podría calificarse de manifiesta e indudable una cuestión que dividió a dos tribunales colegiados especializados, al grado de provocar los conflictos competenciales que dieron lugar a la jurisprudencia? La sola existencia de ese debate demuestra que el punto era opinable y que jamás pudo resolverse en el umbral del juicio, sin trámite, sin informes y sin audiencia.</w:t>
      </w:r>
    </w:p>
    <w:p>
      <w:pPr>
        <w:spacing w:line="360" w:lineRule="auto"/>
        <w:jc w:val="both"/>
      </w:pPr>
      <w:r>
        <w:rPr>
          <w:rFonts w:ascii="Arial" w:hAnsi="Arial"/>
          <w:b w:val="0"/>
          <w:i w:val="0"/>
          <w:sz w:val="28"/>
        </w:rPr>
        <w:t>En el mejor de los casos para el auto recurrido, la duda sobre la procedencia debió resolverse en favor de la admisión, reservando el estudio definitivo de la improcedencia para la sentencia, cuando el órgano de amparo cuente con los informes justificados y las pruebas de las partes; así lo impone el derecho de acceso efectivo a la justicia que tutela el artículo 17 constitucional, que prohíbe cerrar la puerta del juicio con calificaciones anticipadas que requieren demostración.</w:t>
      </w:r>
    </w:p>
    <w:p>
      <w:pPr>
        <w:spacing w:line="360" w:lineRule="auto"/>
        <w:jc w:val="both"/>
      </w:pPr>
      <w:r>
        <w:rPr>
          <w:rFonts w:ascii="Arial" w:hAnsi="Arial"/>
          <w:b w:val="0"/>
          <w:i w:val="0"/>
          <w:sz w:val="28"/>
        </w:rPr>
        <w:t>Por último, la propia jurisprudencia define el órgano que debe resolver este recurso: el Tribunal Colegiado de Circuito especializado en materia de trabajo. Con fundamento en el criterio transcrito se solicita desde ahora que, si el presente recurso fuera turnado a un órgano especializado en materia distinta, se remita al especializado en materia de trabajo que corresponda, pues la competencia por materia constituye un presupuesto procesal de orden público que debe examinarse aun de oficio.</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conclusión, el auto recurrido desechó de plano una demanda de amparo apoyándose en una calificación de la naturaleza del acto reclamado que la jurisprudencia PR.P.T.CN. J/13 L (12a.) proscribe: trató como administrativa una controversia laboral mediante una falsa analogía y un salto lógico que ninguna norma autoriza. Con ello vulneró el derecho fundamental de acceso a la justicia de la persona quejosa, quien tiene derecho a que su demanda sea admitida, tramitada y resuelta por el órgano jurisdiccional competente.</w:t>
      </w:r>
    </w:p>
    <w:p>
      <w:pPr>
        <w:spacing w:line="360" w:lineRule="auto"/>
        <w:jc w:val="both"/>
      </w:pPr>
      <w:r>
        <w:rPr>
          <w:rFonts w:ascii="Arial" w:hAnsi="Arial"/>
          <w:b w:val="0"/>
          <w:i w:val="0"/>
          <w:sz w:val="28"/>
        </w:rPr>
        <w:t xml:space="preserve">Por lo expuesto, se solicita al Tribunal Colegiado de Circuito en Materia de Trabajo que corresponda: primero, tener por interpuesto en tiempo y forma el presente recurso de queja; segundo, declarar fundado el agravio; tercero, revocar el auto de </w:t>
      </w:r>
      <w:r>
        <w:rPr>
          <w:rFonts w:ascii="Arial" w:hAnsi="Arial"/>
          <w:b/>
          <w:i w:val="0"/>
          <w:sz w:val="28"/>
        </w:rPr>
        <w:t>[FECHA DEL AUTO RECURRIDO]</w:t>
      </w:r>
      <w:r>
        <w:rPr>
          <w:rFonts w:ascii="Arial" w:hAnsi="Arial"/>
          <w:b w:val="0"/>
          <w:i w:val="0"/>
          <w:sz w:val="28"/>
        </w:rPr>
        <w:t xml:space="preserve"> y ordenar a la persona juzgadora de distrito que, de no advertir causa diversa manifiesta e indudable de improcedencia, provea sobre la admisión de la demanda; y cuarto, reservar a la persona quejosa sus derechos para promover lo que a su interés convenga respecto de la suspensión del acto reclamado.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280.</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595.</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 p. 334.</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CIENFUEGOS SALGADO, David, </w:t>
      </w:r>
      <w:r>
        <w:rPr>
          <w:rFonts w:ascii="Arial" w:hAnsi="Arial"/>
          <w:i/>
          <w:sz w:val="20"/>
        </w:rPr>
        <w:t>Matemáticas aplicadas al derecho</w:t>
      </w:r>
      <w:r>
        <w:rPr>
          <w:rFonts w:ascii="Arial" w:hAnsi="Arial"/>
          <w:i w:val="0"/>
          <w:sz w:val="20"/>
        </w:rPr>
        <w:t>, 2ª ed., Porrúa, México, 2010, p. 233.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9.</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165.</w:t>
      </w:r>
    </w:p>
    <w:p/>
    <w:p>
      <w:r>
        <w:rPr>
          <w:rFonts w:ascii="Arial" w:hAnsi="Arial"/>
          <w:b/>
          <w:sz w:val="22"/>
        </w:rPr>
        <w:t>BIBLIOGRAFÍA</w:t>
      </w:r>
    </w:p>
    <w:p>
      <w:pPr>
        <w:spacing w:after="60"/>
        <w:ind w:left="360" w:hanging="360"/>
        <w:jc w:val="both"/>
      </w:pPr>
      <w:r>
        <w:rPr>
          <w:rFonts w:ascii="Arial" w:hAnsi="Arial"/>
          <w:i w:val="0"/>
          <w:sz w:val="20"/>
        </w:rPr>
        <w:t xml:space="preserve">CIENFUEGOS SALGADO, David, </w:t>
      </w:r>
      <w:r>
        <w:rPr>
          <w:rFonts w:ascii="Arial" w:hAnsi="Arial"/>
          <w:i/>
          <w:sz w:val="20"/>
        </w:rPr>
        <w:t>Matemáticas aplicadas al derecho</w:t>
      </w:r>
      <w:r>
        <w:rPr>
          <w:rFonts w:ascii="Arial" w:hAnsi="Arial"/>
          <w:i w:val="0"/>
          <w:sz w:val="20"/>
        </w:rPr>
        <w:t>, 2ª ed., Porrúa, México, 2010.</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