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RECURSO DE QUEJA. BENEFICIOS PRELIBERACIONALES SIN DEFINITIVIDAD</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Abre el machote y sustituye los campos entre corchetes con los datos de tu expediente; después ajusta la transcripción de la consideración combatida y revisa que el silogismo cierre con tu caso concreto. El agravio está pensado para presentarse dentro del escrito de recurso de queja, ante el órgano que corresponda conforme a la Ley de Amparo.</w:t>
      </w:r>
    </w:p>
    <w:p>
      <w:pPr>
        <w:spacing w:line="360" w:lineRule="auto"/>
        <w:jc w:val="both"/>
      </w:pPr>
      <w:r>
        <w:rPr>
          <w:rFonts w:ascii="Arial" w:hAnsi="Arial"/>
          <w:b/>
          <w:i w:val="0"/>
          <w:sz w:val="24"/>
        </w:rPr>
        <w:t>[FECHA DEL AUTO RECURRIDO]</w:t>
      </w:r>
      <w:r>
        <w:rPr>
          <w:rFonts w:ascii="Arial" w:hAnsi="Arial"/>
          <w:b w:val="0"/>
          <w:i w:val="0"/>
          <w:sz w:val="24"/>
        </w:rPr>
        <w:t>: fecha del auto que desechó tu demanda de amparo.</w:t>
      </w:r>
    </w:p>
    <w:p>
      <w:pPr>
        <w:spacing w:line="360" w:lineRule="auto"/>
        <w:jc w:val="both"/>
      </w:pPr>
      <w:r>
        <w:rPr>
          <w:rFonts w:ascii="Arial" w:hAnsi="Arial"/>
          <w:b/>
          <w:i w:val="0"/>
          <w:sz w:val="24"/>
        </w:rPr>
        <w:t>[NÚMERO DEL JUICIO DE AMPARO]</w:t>
      </w:r>
      <w:r>
        <w:rPr>
          <w:rFonts w:ascii="Arial" w:hAnsi="Arial"/>
          <w:b w:val="0"/>
          <w:i w:val="0"/>
          <w:sz w:val="24"/>
        </w:rPr>
        <w:t>: expediente del juicio de amparo indirecto desechado.</w:t>
      </w:r>
    </w:p>
    <w:p>
      <w:pPr>
        <w:spacing w:line="360" w:lineRule="auto"/>
        <w:jc w:val="both"/>
      </w:pPr>
      <w:r>
        <w:rPr>
          <w:rFonts w:ascii="Arial" w:hAnsi="Arial"/>
          <w:b/>
          <w:i w:val="0"/>
          <w:sz w:val="24"/>
        </w:rPr>
        <w:t>[JUZGADO DE DISTRITO DEL CONOCIMIENTO]</w:t>
      </w:r>
      <w:r>
        <w:rPr>
          <w:rFonts w:ascii="Arial" w:hAnsi="Arial"/>
          <w:b w:val="0"/>
          <w:i w:val="0"/>
          <w:sz w:val="24"/>
        </w:rPr>
        <w:t>: órgano que dictó el desechamiento.</w:t>
      </w:r>
    </w:p>
    <w:p>
      <w:pPr>
        <w:spacing w:line="360" w:lineRule="auto"/>
        <w:jc w:val="both"/>
      </w:pPr>
      <w:r>
        <w:rPr>
          <w:rFonts w:ascii="Arial" w:hAnsi="Arial"/>
          <w:b/>
          <w:i w:val="0"/>
          <w:sz w:val="24"/>
        </w:rPr>
        <w:t>[FECHA DE NOTIFICACIÓN DEL AUTO RECURRIDO]</w:t>
      </w:r>
      <w:r>
        <w:rPr>
          <w:rFonts w:ascii="Arial" w:hAnsi="Arial"/>
          <w:b w:val="0"/>
          <w:i w:val="0"/>
          <w:sz w:val="24"/>
        </w:rPr>
        <w:t>: día en que te notificaron el auto, para acreditar la oportunidad de la queja.</w:t>
      </w:r>
    </w:p>
    <w:p>
      <w:pPr>
        <w:spacing w:line="360" w:lineRule="auto"/>
        <w:jc w:val="both"/>
      </w:pPr>
      <w:r>
        <w:rPr>
          <w:rFonts w:ascii="Arial" w:hAnsi="Arial"/>
          <w:b/>
          <w:i w:val="0"/>
          <w:sz w:val="24"/>
        </w:rPr>
        <w:t>[NOMBRE DE LA PERSONA QUEJOSA]</w:t>
      </w:r>
      <w:r>
        <w:rPr>
          <w:rFonts w:ascii="Arial" w:hAnsi="Arial"/>
          <w:b w:val="0"/>
          <w:i w:val="0"/>
          <w:sz w:val="24"/>
        </w:rPr>
        <w:t>: nombre completo de quien promueve.</w:t>
      </w:r>
    </w:p>
    <w:p>
      <w:pPr>
        <w:spacing w:line="360" w:lineRule="auto"/>
        <w:jc w:val="both"/>
      </w:pPr>
      <w:r>
        <w:rPr>
          <w:rFonts w:ascii="Arial" w:hAnsi="Arial"/>
          <w:b/>
          <w:i w:val="0"/>
          <w:sz w:val="24"/>
        </w:rPr>
        <w:t>[FECHA DE LA RESOLUCIÓN RECLAMADA]</w:t>
      </w:r>
      <w:r>
        <w:rPr>
          <w:rFonts w:ascii="Arial" w:hAnsi="Arial"/>
          <w:b w:val="0"/>
          <w:i w:val="0"/>
          <w:sz w:val="24"/>
        </w:rPr>
        <w:t>: fecha de la resolución que desechó o negó el beneficio.</w:t>
      </w:r>
    </w:p>
    <w:p>
      <w:pPr>
        <w:spacing w:line="360" w:lineRule="auto"/>
        <w:jc w:val="both"/>
      </w:pPr>
      <w:r>
        <w:rPr>
          <w:rFonts w:ascii="Arial" w:hAnsi="Arial"/>
          <w:b/>
          <w:i w:val="0"/>
          <w:sz w:val="24"/>
        </w:rPr>
        <w:t>[JUEZ DE EJECUCIÓN RESPONSABLE]</w:t>
      </w:r>
      <w:r>
        <w:rPr>
          <w:rFonts w:ascii="Arial" w:hAnsi="Arial"/>
          <w:b w:val="0"/>
          <w:i w:val="0"/>
          <w:sz w:val="24"/>
        </w:rPr>
        <w:t>: denominación del órgano de ejecución penal que la dictó.</w:t>
      </w:r>
    </w:p>
    <w:p>
      <w:pPr>
        <w:spacing w:line="360" w:lineRule="auto"/>
        <w:jc w:val="both"/>
      </w:pPr>
      <w:r>
        <w:rPr>
          <w:rFonts w:ascii="Arial" w:hAnsi="Arial"/>
          <w:b/>
          <w:i w:val="0"/>
          <w:sz w:val="24"/>
        </w:rPr>
        <w:t>[NÚMERO DE LA CARPETA DE EJECUCIÓN]</w:t>
      </w:r>
      <w:r>
        <w:rPr>
          <w:rFonts w:ascii="Arial" w:hAnsi="Arial"/>
          <w:b w:val="0"/>
          <w:i w:val="0"/>
          <w:sz w:val="24"/>
        </w:rPr>
        <w:t>: identificador de la carpeta o expediente de ejecución.</w:t>
      </w:r>
    </w:p>
    <w:p>
      <w:pPr>
        <w:spacing w:line="360" w:lineRule="auto"/>
        <w:jc w:val="both"/>
      </w:pPr>
      <w:r>
        <w:rPr>
          <w:rFonts w:ascii="Arial" w:hAnsi="Arial"/>
          <w:b/>
          <w:i w:val="0"/>
          <w:sz w:val="24"/>
        </w:rPr>
        <w:t>[BENEFICIO PRELIBERACIONAL SOLICITADO]</w:t>
      </w:r>
      <w:r>
        <w:rPr>
          <w:rFonts w:ascii="Arial" w:hAnsi="Arial"/>
          <w:b w:val="0"/>
          <w:i w:val="0"/>
          <w:sz w:val="24"/>
        </w:rPr>
        <w:t>: nombre exacto del beneficio pedido (según tu ley de ejecución).</w:t>
      </w:r>
    </w:p>
    <w:p>
      <w:pPr>
        <w:spacing w:line="360" w:lineRule="auto"/>
        <w:jc w:val="both"/>
      </w:pPr>
      <w:r>
        <w:rPr>
          <w:rFonts w:ascii="Arial" w:hAnsi="Arial"/>
          <w:b/>
          <w:i w:val="0"/>
          <w:sz w:val="24"/>
        </w:rPr>
        <w:t>[LEY DE EJECUCIÓN QUE FUNDÓ LA SOLICITUD]</w:t>
      </w:r>
      <w:r>
        <w:rPr>
          <w:rFonts w:ascii="Arial" w:hAnsi="Arial"/>
          <w:b w:val="0"/>
          <w:i w:val="0"/>
          <w:sz w:val="24"/>
        </w:rPr>
        <w:t>: ordenamiento que invocaste al solicitar el beneficio.</w:t>
      </w:r>
    </w:p>
    <w:p>
      <w:pPr>
        <w:spacing w:line="360" w:lineRule="auto"/>
        <w:jc w:val="both"/>
      </w:pPr>
      <w:r>
        <w:rPr>
          <w:rFonts w:ascii="Arial" w:hAnsi="Arial"/>
          <w:b/>
          <w:i w:val="0"/>
          <w:sz w:val="24"/>
        </w:rPr>
        <w:t>[TRANSCRIPCIÓN DE LA CONSIDERACIÓN DEL AUTO RECURRIDO]</w:t>
      </w:r>
      <w:r>
        <w:rPr>
          <w:rFonts w:ascii="Arial" w:hAnsi="Arial"/>
          <w:b w:val="0"/>
          <w:i w:val="0"/>
          <w:sz w:val="24"/>
        </w:rPr>
        <w:t>: copia literal del párrafo donde el juzgado exigió agotar la apelación.</w:t>
      </w:r>
    </w:p>
    <w:p>
      <w:pPr>
        <w:spacing w:line="360" w:lineRule="auto"/>
        <w:jc w:val="both"/>
      </w:pPr>
      <w:r>
        <w:rPr>
          <w:rFonts w:ascii="Arial" w:hAnsi="Arial"/>
          <w:b/>
          <w:i w:val="0"/>
          <w:sz w:val="24"/>
        </w:rPr>
        <w:t>[CENTRO PENITENCIARIO DE RECLUSIÓN]</w:t>
      </w:r>
      <w:r>
        <w:rPr>
          <w:rFonts w:ascii="Arial" w:hAnsi="Arial"/>
          <w:b w:val="0"/>
          <w:i w:val="0"/>
          <w:sz w:val="24"/>
        </w:rPr>
        <w:t>: lugar donde la persona quejosa se encuentra privada de la libertad.</w:t>
      </w:r>
    </w:p>
    <w:p/>
    <w:p>
      <w:pPr>
        <w:spacing w:line="360" w:lineRule="auto"/>
        <w:jc w:val="both"/>
      </w:pPr>
      <w:r>
        <w:rPr>
          <w:rFonts w:ascii="Arial" w:hAnsi="Arial"/>
          <w:b/>
          <w:sz w:val="28"/>
        </w:rPr>
        <w:t>ÚNICO AGRAVIO. ILEGAL DESECHAMIENTO DE LA DEMANDA DE AMPARO INDIRECTO POR INEXACTA APLICACIÓN DEL PRINCIPIO DE DEFINITIVIDAD, PUES EL ACTO RECLAMADO, QUE DESECHÓ O NEGÓ UN BENEFICIO PRELIBERACIONAL, AFECTA INDIRECTAMENTE LA LIBERTAD PERSONAL DE LA PERSONA QUEJOSA Y ESTÁ EXPRESAMENTE EXCEPTUADO DE AGOTAR RECURSO ORDINARIO ALGUNO.</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En este agravio se demostrará que el auto de </w:t>
      </w:r>
      <w:r>
        <w:rPr>
          <w:rFonts w:ascii="Arial" w:hAnsi="Arial"/>
          <w:b/>
          <w:i w:val="0"/>
          <w:sz w:val="28"/>
        </w:rPr>
        <w:t>[FECHA DEL AUTO RECURRIDO]</w:t>
      </w:r>
      <w:r>
        <w:rPr>
          <w:rFonts w:ascii="Arial" w:hAnsi="Arial"/>
          <w:b w:val="0"/>
          <w:i w:val="0"/>
          <w:sz w:val="28"/>
        </w:rPr>
        <w:t xml:space="preserve">, dictado en el juicio de amparo indirecto </w:t>
      </w:r>
      <w:r>
        <w:rPr>
          <w:rFonts w:ascii="Arial" w:hAnsi="Arial"/>
          <w:b/>
          <w:i w:val="0"/>
          <w:sz w:val="28"/>
        </w:rPr>
        <w:t>[NÚMERO DEL JUICIO DE AMPARO]</w:t>
      </w:r>
      <w:r>
        <w:rPr>
          <w:rFonts w:ascii="Arial" w:hAnsi="Arial"/>
          <w:b w:val="0"/>
          <w:i w:val="0"/>
          <w:sz w:val="28"/>
        </w:rPr>
        <w:t xml:space="preserve"> del índice del </w:t>
      </w:r>
      <w:r>
        <w:rPr>
          <w:rFonts w:ascii="Arial" w:hAnsi="Arial"/>
          <w:b/>
          <w:i w:val="0"/>
          <w:sz w:val="28"/>
        </w:rPr>
        <w:t>[JUZGADO DE DISTRITO DEL CONOCIMIENTO]</w:t>
      </w:r>
      <w:r>
        <w:rPr>
          <w:rFonts w:ascii="Arial" w:hAnsi="Arial"/>
          <w:b w:val="0"/>
          <w:i w:val="0"/>
          <w:sz w:val="28"/>
        </w:rPr>
        <w:t xml:space="preserve">, notificado a esta parte el </w:t>
      </w:r>
      <w:r>
        <w:rPr>
          <w:rFonts w:ascii="Arial" w:hAnsi="Arial"/>
          <w:b/>
          <w:i w:val="0"/>
          <w:sz w:val="28"/>
        </w:rPr>
        <w:t>[FECHA DE NOTIFICACIÓN DEL AUTO RECURRIDO]</w:t>
      </w:r>
      <w:r>
        <w:rPr>
          <w:rFonts w:ascii="Arial" w:hAnsi="Arial"/>
          <w:b w:val="0"/>
          <w:i w:val="0"/>
          <w:sz w:val="28"/>
        </w:rPr>
        <w:t xml:space="preserve">, viola los artículos 61, fracción XVIII, inciso b), y 113 de la Ley de Amparo, porque desechó de plano la demanda promovida por </w:t>
      </w:r>
      <w:r>
        <w:rPr>
          <w:rFonts w:ascii="Arial" w:hAnsi="Arial"/>
          <w:b/>
          <w:i w:val="0"/>
          <w:sz w:val="28"/>
        </w:rPr>
        <w:t>[NOMBRE DE LA PERSONA QUEJOSA]</w:t>
      </w:r>
      <w:r>
        <w:rPr>
          <w:rFonts w:ascii="Arial" w:hAnsi="Arial"/>
          <w:b w:val="0"/>
          <w:i w:val="0"/>
          <w:sz w:val="28"/>
        </w:rPr>
        <w:t xml:space="preserve"> bajo el argumento de que debió agotarse previamente el recurso de apelación contra la resolución reclamada, siendo que dicha resolución se encuentra exceptuada del principio de definitividad.</w:t>
      </w:r>
    </w:p>
    <w:p>
      <w:pPr>
        <w:spacing w:line="360" w:lineRule="auto"/>
        <w:jc w:val="both"/>
      </w:pPr>
      <w:r>
        <w:rPr>
          <w:rFonts w:ascii="Arial" w:hAnsi="Arial"/>
          <w:b w:val="0"/>
          <w:i w:val="0"/>
          <w:sz w:val="28"/>
        </w:rPr>
        <w:t xml:space="preserve">En efecto, el acto reclamado en el juicio constitucional consiste en la resolución de </w:t>
      </w:r>
      <w:r>
        <w:rPr>
          <w:rFonts w:ascii="Arial" w:hAnsi="Arial"/>
          <w:b/>
          <w:i w:val="0"/>
          <w:sz w:val="28"/>
        </w:rPr>
        <w:t>[FECHA DE LA RESOLUCIÓN RECLAMADA]</w:t>
      </w:r>
      <w:r>
        <w:rPr>
          <w:rFonts w:ascii="Arial" w:hAnsi="Arial"/>
          <w:b w:val="0"/>
          <w:i w:val="0"/>
          <w:sz w:val="28"/>
        </w:rPr>
        <w:t xml:space="preserve">, dictada por el </w:t>
      </w:r>
      <w:r>
        <w:rPr>
          <w:rFonts w:ascii="Arial" w:hAnsi="Arial"/>
          <w:b/>
          <w:i w:val="0"/>
          <w:sz w:val="28"/>
        </w:rPr>
        <w:t>[JUEZ DE EJECUCIÓN RESPONSABLE]</w:t>
      </w:r>
      <w:r>
        <w:rPr>
          <w:rFonts w:ascii="Arial" w:hAnsi="Arial"/>
          <w:b w:val="0"/>
          <w:i w:val="0"/>
          <w:sz w:val="28"/>
        </w:rPr>
        <w:t xml:space="preserve"> dentro de la carpeta de ejecución </w:t>
      </w:r>
      <w:r>
        <w:rPr>
          <w:rFonts w:ascii="Arial" w:hAnsi="Arial"/>
          <w:b/>
          <w:i w:val="0"/>
          <w:sz w:val="28"/>
        </w:rPr>
        <w:t>[NÚMERO DE LA CARPETA DE EJECUCIÓN]</w:t>
      </w:r>
      <w:r>
        <w:rPr>
          <w:rFonts w:ascii="Arial" w:hAnsi="Arial"/>
          <w:b w:val="0"/>
          <w:i w:val="0"/>
          <w:sz w:val="28"/>
        </w:rPr>
        <w:t xml:space="preserve">, que desechó de plano la solicitud del beneficio preliberacional de </w:t>
      </w:r>
      <w:r>
        <w:rPr>
          <w:rFonts w:ascii="Arial" w:hAnsi="Arial"/>
          <w:b/>
          <w:i w:val="0"/>
          <w:sz w:val="28"/>
        </w:rPr>
        <w:t>[BENEFICIO PRELIBERACIONAL SOLICITADO]</w:t>
      </w:r>
      <w:r>
        <w:rPr>
          <w:rFonts w:ascii="Arial" w:hAnsi="Arial"/>
          <w:b w:val="0"/>
          <w:i w:val="0"/>
          <w:sz w:val="28"/>
        </w:rPr>
        <w:t xml:space="preserve">, formulada con fundamento en la </w:t>
      </w:r>
      <w:r>
        <w:rPr>
          <w:rFonts w:ascii="Arial" w:hAnsi="Arial"/>
          <w:b/>
          <w:i w:val="0"/>
          <w:sz w:val="28"/>
        </w:rPr>
        <w:t>[LEY DE EJECUCIÓN QUE FUNDÓ LA SOLICITUD]</w:t>
      </w:r>
      <w:r>
        <w:rPr>
          <w:rFonts w:ascii="Arial" w:hAnsi="Arial"/>
          <w:b w:val="0"/>
          <w:i w:val="0"/>
          <w:sz w:val="28"/>
        </w:rPr>
        <w:t>.</w:t>
      </w:r>
    </w:p>
    <w:p>
      <w:pPr>
        <w:spacing w:line="360" w:lineRule="auto"/>
        <w:jc w:val="both"/>
      </w:pPr>
      <w:r>
        <w:rPr>
          <w:rFonts w:ascii="Arial" w:hAnsi="Arial"/>
          <w:b w:val="0"/>
          <w:i w:val="0"/>
          <w:sz w:val="28"/>
        </w:rPr>
        <w:t>Esa determinación afecta de manera indirecta la libertad personal de la persona quejosa, hipótesis que la propia Ley de Amparo y la jurisprudencia obligatoria de los Plenos Regionales exceptúan de agotar recurso ordinario alguno.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consideración exacta que se combate es la contenida en el auto recurrido, en la que el juzgado del conocimiento sostuvo, en esencia, lo siguiente: </w:t>
      </w:r>
      <w:r>
        <w:rPr>
          <w:rFonts w:ascii="Arial" w:hAnsi="Arial"/>
          <w:b w:val="0"/>
          <w:i/>
          <w:sz w:val="28"/>
        </w:rPr>
        <w:t>«[TRANSCRIPCIÓN DE LA CONSIDERACIÓN DEL AUTO RECURRIDO]»</w:t>
      </w:r>
      <w:r>
        <w:rPr>
          <w:rFonts w:ascii="Arial" w:hAnsi="Arial"/>
          <w:b w:val="0"/>
          <w:i w:val="0"/>
          <w:sz w:val="28"/>
        </w:rPr>
        <w:t>. A partir de esa premisa, el órgano de amparo concluyó que la demanda resultaba notoriamente improcedente conforme al artículo 61, fracción XVIII, de la Ley de Amparo, pues antes de instar la acción constitucional debía interponerse el recurso de apelación previsto en la legislación de ejecución penal, sin que, a su juicio, se actualizara excepción alguna al principio de definitividad.</w:t>
      </w:r>
    </w:p>
    <w:p>
      <w:pPr>
        <w:spacing w:line="360" w:lineRule="auto"/>
        <w:jc w:val="both"/>
      </w:pPr>
      <w:r>
        <w:rPr>
          <w:rFonts w:ascii="Arial" w:hAnsi="Arial"/>
          <w:b w:val="0"/>
          <w:i w:val="0"/>
          <w:sz w:val="28"/>
        </w:rPr>
        <w:t xml:space="preserve">Esa determinación causa a la persona quejosa un perjuicio directo e inmediato, pues le cierra el acceso al control constitucional respecto de una resolución que prolonga su reclusión en el </w:t>
      </w:r>
      <w:r>
        <w:rPr>
          <w:rFonts w:ascii="Arial" w:hAnsi="Arial"/>
          <w:b/>
          <w:i w:val="0"/>
          <w:sz w:val="28"/>
        </w:rPr>
        <w:t>[CENTRO PENITENCIARIO DE RECLUSIÓN]</w:t>
      </w:r>
      <w:r>
        <w:rPr>
          <w:rFonts w:ascii="Arial" w:hAnsi="Arial"/>
          <w:b w:val="0"/>
          <w:i w:val="0"/>
          <w:sz w:val="28"/>
        </w:rPr>
        <w:t>, a pesar de que el legislador estableció, precisamente para los actos que afectan la libertad personal, una excepción expresa a la regla de definitividad.</w:t>
      </w:r>
    </w:p>
    <w:p>
      <w:pPr>
        <w:spacing w:line="360" w:lineRule="auto"/>
        <w:jc w:val="both"/>
      </w:pPr>
      <w:r>
        <w:rPr>
          <w:rFonts w:ascii="Arial" w:hAnsi="Arial"/>
          <w:b w:val="0"/>
          <w:i w:val="0"/>
          <w:sz w:val="28"/>
        </w:rPr>
        <w:t>La ilegalidad del desechamiento se demuestra con el silogismo que enseguida se desarrolla: la premisa mayor es la excepción legal y jurisprudencial; la premisa menor, la naturaleza del acto reclamado; la conclusión, la obligación de admitir la demanda.</w:t>
      </w:r>
    </w:p>
    <w:p>
      <w:pPr>
        <w:spacing w:line="360" w:lineRule="auto"/>
        <w:jc w:val="both"/>
      </w:pPr>
      <w:r>
        <w:rPr>
          <w:rFonts w:ascii="Arial" w:hAnsi="Arial"/>
          <w:b/>
          <w:sz w:val="28"/>
        </w:rPr>
        <w:t>III. Desarrollo doctrinal. La regla de definitividad y su excepción cuando el acto afecta la libertad personal (premisa mayor).</w:t>
      </w:r>
    </w:p>
    <w:p>
      <w:pPr>
        <w:spacing w:line="360" w:lineRule="auto"/>
        <w:jc w:val="both"/>
      </w:pPr>
      <w:r>
        <w:rPr>
          <w:rFonts w:ascii="Arial" w:hAnsi="Arial"/>
          <w:b w:val="0"/>
          <w:i w:val="0"/>
          <w:sz w:val="28"/>
        </w:rPr>
        <w:t>El juicio de amparo es un medio de control constitucional de carácter extraordinario; de esa naturaleza deriva el principio de definitividad, conforme al cual, antes de acudir a la vía constitucional, la persona agraviada debe agotar los recursos ordinarios que la ley aplicable prevea, siempre que sean idóneos para modificar, revocar o nulificar el acto que le agravia. El artículo 61, fracción XVIII, de la Ley de Amparo recoge esa regla tratándose de resoluciones procedentes de tribunales judiciales, administrativos o del trabajo.</w:t>
      </w:r>
    </w:p>
    <w:p>
      <w:pPr>
        <w:spacing w:line="360" w:lineRule="auto"/>
        <w:jc w:val="both"/>
      </w:pPr>
      <w:r>
        <w:rPr>
          <w:rFonts w:ascii="Arial" w:hAnsi="Arial"/>
          <w:b w:val="0"/>
          <w:i w:val="0"/>
          <w:sz w:val="28"/>
        </w:rPr>
        <w:t>La doctrina especializada en procedencia del amparo sistematiza los supuestos de infracción a dicho principio —que el medio ordinario de defensa no se interponga, que se interponga fuera del plazo legal o que se abandone— como hipótesis que actualizan la improcedencia del juicio constitucional</w:t>
      </w:r>
      <w:r>
        <w:rPr>
          <w:rFonts w:ascii="Arial" w:hAnsi="Arial"/>
          <w:vertAlign w:val="superscript"/>
        </w:rPr>
        <w:t>1</w:t>
      </w:r>
      <w:r>
        <w:rPr>
          <w:rFonts w:ascii="Arial" w:hAnsi="Arial"/>
          <w:b w:val="0"/>
          <w:i w:val="0"/>
          <w:sz w:val="28"/>
        </w:rPr>
        <w:t>. Sin embargo, la propia sistematización doctrinal advierte que la definitividad no es una regla absoluta, sino una regla general acompañada de excepciones que el juzgador está obligado a examinar antes de cerrar la vía.</w:t>
      </w:r>
    </w:p>
    <w:p>
      <w:pPr>
        <w:spacing w:line="360" w:lineRule="auto"/>
        <w:jc w:val="both"/>
      </w:pPr>
      <w:r>
        <w:rPr>
          <w:rFonts w:ascii="Arial" w:hAnsi="Arial"/>
          <w:b w:val="0"/>
          <w:i w:val="0"/>
          <w:sz w:val="28"/>
        </w:rPr>
        <w:t>En esa línea, la doctrina ha destacado que el marco jurídico vigente recogió, tanto en la Constitución General de la República como en la Ley de Amparo, todas las excepciones al principio de definitividad en amparo indirecto que antes se hallaban dispersas, de modo que hoy están incorporadas a los artículos 107 constitucional y 61 de la ley de la materia.</w:t>
      </w:r>
      <w:r>
        <w:rPr>
          <w:rFonts w:ascii="Arial" w:hAnsi="Arial"/>
          <w:vertAlign w:val="superscript"/>
        </w:rPr>
        <w:t>2</w:t>
      </w:r>
      <w:r>
        <w:rPr>
          <w:rFonts w:ascii="Arial" w:hAnsi="Arial"/>
          <w:b w:val="0"/>
          <w:i w:val="0"/>
          <w:sz w:val="28"/>
        </w:rPr>
        <w:t xml:space="preserve"> La fuente de la excepción es siempre la Constitución o la propia Ley de Amparo, y nunca la interpretación restrictiva del juzgador, pues se trata de un medio extraordinario cuyo acceso no puede depender de ordenamientos secundarios.</w:t>
      </w:r>
    </w:p>
    <w:p>
      <w:pPr>
        <w:spacing w:line="360" w:lineRule="auto"/>
        <w:jc w:val="both"/>
      </w:pPr>
      <w:r>
        <w:rPr>
          <w:rFonts w:ascii="Arial" w:hAnsi="Arial"/>
          <w:b w:val="0"/>
          <w:i w:val="0"/>
          <w:sz w:val="28"/>
        </w:rPr>
        <w:t>De ello se sigue una consecuencia capital: cuando el legislador de amparo consagra una excepción, ésta opera de pleno derecho, y el juzgador carece de facultades para reintroducir por vía interpretativa la regla general que aquélla desplaza.</w:t>
      </w:r>
    </w:p>
    <w:p>
      <w:pPr>
        <w:spacing w:line="360" w:lineRule="auto"/>
        <w:jc w:val="both"/>
      </w:pPr>
      <w:r>
        <w:rPr>
          <w:rFonts w:ascii="Arial" w:hAnsi="Arial"/>
          <w:b w:val="0"/>
          <w:i w:val="0"/>
          <w:sz w:val="28"/>
        </w:rPr>
        <w:t xml:space="preserve">Pues bien, el inciso b) de la fracción XVIII del artículo 61 de la Ley de Amparo exceptúa del agotamiento de recursos ordinarios diversos actos de naturaleza penal, entre ellos las órdenes de aprehensión, las medidas cautelares restrictivas de la libertad, la resolución que niegue la libertad bajo caución y, mediante una cláusula abierta, </w:t>
      </w:r>
      <w:r>
        <w:rPr>
          <w:rFonts w:ascii="Arial" w:hAnsi="Arial"/>
          <w:b w:val="0"/>
          <w:i/>
          <w:sz w:val="28"/>
        </w:rPr>
        <w:t>«cualquier otro que afecte la libertad personal del quejoso»</w:t>
      </w:r>
      <w:r>
        <w:rPr>
          <w:rFonts w:ascii="Arial" w:hAnsi="Arial"/>
          <w:b w:val="0"/>
          <w:i w:val="0"/>
          <w:sz w:val="28"/>
        </w:rPr>
        <w:t>, siempre que no se trate de sentencia definitiva en el proceso penal.</w:t>
      </w:r>
    </w:p>
    <w:p>
      <w:pPr>
        <w:spacing w:line="360" w:lineRule="auto"/>
        <w:jc w:val="both"/>
      </w:pPr>
      <w:r>
        <w:rPr>
          <w:rFonts w:ascii="Arial" w:hAnsi="Arial"/>
          <w:b w:val="0"/>
          <w:i w:val="0"/>
          <w:sz w:val="28"/>
        </w:rPr>
        <w:t>La amplitud de esa cláusula revela la intención legislativa de que ningún acto que incida sobre la libertad personal, de forma directa o indirecta, quede condicionado al agotamiento previo de recursos ordinarios.</w:t>
      </w:r>
    </w:p>
    <w:p>
      <w:pPr>
        <w:spacing w:line="360" w:lineRule="auto"/>
        <w:jc w:val="both"/>
      </w:pPr>
      <w:r>
        <w:rPr>
          <w:rFonts w:ascii="Arial" w:hAnsi="Arial"/>
          <w:b w:val="0"/>
          <w:i w:val="0"/>
          <w:sz w:val="28"/>
        </w:rPr>
        <w:t>Los beneficios preliberacionales se inscriben en el régimen constitucional de la reinserción social que deriva del artículo 18 de la Constitución General. Quien pide un beneficio de esa naturaleza pretende compurgar su pena en menor tiempo o en condiciones distintas al internamiento; por eso, como lo razonó el propio Pleno Regional, al desecharse o negarse la solicitud la persona sentenciada permanece privada de su libertad, pues debe seguir cumpliendo la pena en los términos y por el tiempo decretados en la sentencia condenatoria.</w:t>
      </w:r>
    </w:p>
    <w:p>
      <w:pPr>
        <w:spacing w:line="360" w:lineRule="auto"/>
        <w:jc w:val="both"/>
      </w:pPr>
      <w:r>
        <w:rPr>
          <w:rFonts w:ascii="Arial" w:hAnsi="Arial"/>
          <w:b w:val="0"/>
          <w:i w:val="0"/>
          <w:sz w:val="28"/>
        </w:rPr>
        <w:t>La negativa, por tanto, no es un acto neutro de mero trámite, sino una determinación que incide de manera indirecta, pero real y actual, sobre la libertad personal.</w:t>
      </w:r>
    </w:p>
    <w:p>
      <w:pPr>
        <w:spacing w:line="360" w:lineRule="auto"/>
        <w:jc w:val="both"/>
      </w:pPr>
      <w:r>
        <w:rPr>
          <w:rFonts w:ascii="Arial" w:hAnsi="Arial"/>
          <w:b w:val="0"/>
          <w:i w:val="0"/>
          <w:sz w:val="28"/>
        </w:rPr>
        <w:t>Sobre esas bases, el Pleno Regional en Materias Penal y de Trabajo de la Región Centro-Norte, con residencia en la Ciudad de México, al resolver la contradicción de criterios 83/2025, suscitada entre un extinto Pleno de Circuito y un Tribunal Colegiado de Circuito, fijó jurisprudencia obligatoria en el sentido de que tales resoluciones actualizan la excepción apuntada, con independencia del beneficio de que se trate o de la ley que lo prevea.</w:t>
      </w:r>
    </w:p>
    <w:p>
      <w:pPr>
        <w:spacing w:line="360" w:lineRule="auto"/>
        <w:jc w:val="both"/>
      </w:pPr>
      <w:r>
        <w:rPr>
          <w:rFonts w:ascii="Arial" w:hAnsi="Arial"/>
          <w:b w:val="0"/>
          <w:i w:val="0"/>
          <w:sz w:val="28"/>
        </w:rPr>
        <w:t xml:space="preserve">Se trata de la jurisprudencia PR.P.T.CN. J/13 P (12a.), sustentada por el Pleno Regional en Materias Penal y de Trabajo de la Región Centro-Norte, publicada en el Semanario Judicial de la Federación el viernes 21 de agosto de 2026, registro digital 2032513, de aplicación obligatoria a partir del lunes 24 de agosto de 2026, cuyo rubro establece: </w:t>
      </w:r>
      <w:r>
        <w:rPr>
          <w:rFonts w:ascii="Arial" w:hAnsi="Arial"/>
          <w:b w:val="0"/>
          <w:i/>
          <w:sz w:val="28"/>
        </w:rPr>
        <w:t>«BENEFICIOS PRELIBERACIONALES. CUANDO SE RECLAMA LA RESOLUCIÓN JUDICIAL QUE DESECHA DE PLANO O NIEGA LA SOLICITUD RELATIVA, PROCEDE EL AMPARO INDIRECTO SIN NECESIDAD DE AGOTAR EL PRINCIPIO DE DEFINITIVIDAD.»</w:t>
      </w:r>
      <w:r>
        <w:rPr>
          <w:rFonts w:ascii="Arial" w:hAnsi="Arial"/>
          <w:b w:val="0"/>
          <w:i w:val="0"/>
          <w:sz w:val="28"/>
        </w:rPr>
        <w:t>.</w:t>
      </w:r>
    </w:p>
    <w:p>
      <w:pPr>
        <w:spacing w:line="360" w:lineRule="auto"/>
        <w:jc w:val="both"/>
      </w:pPr>
      <w:r>
        <w:rPr>
          <w:rFonts w:ascii="Arial" w:hAnsi="Arial"/>
          <w:b w:val="0"/>
          <w:i w:val="0"/>
          <w:sz w:val="28"/>
        </w:rPr>
        <w:t xml:space="preserve">Su criterio jurídico dispone textualmente: </w:t>
      </w:r>
      <w:r>
        <w:rPr>
          <w:rFonts w:ascii="Arial" w:hAnsi="Arial"/>
          <w:b w:val="0"/>
          <w:i/>
          <w:sz w:val="28"/>
        </w:rPr>
        <w:t>«Es innecesario agotar el principio de definitividad previo al amparo indirecto en el que se reclame la resolución judicial que desecha de plano o niega una solicitud de beneficios preliberacionales, con independencia del beneficio de que se trate o de la legislación que lo prevea.»</w:t>
      </w:r>
      <w:r>
        <w:rPr>
          <w:rFonts w:ascii="Arial" w:hAnsi="Arial"/>
          <w:b w:val="0"/>
          <w:i w:val="0"/>
          <w:sz w:val="28"/>
        </w:rPr>
        <w:t>.</w:t>
      </w:r>
    </w:p>
    <w:p>
      <w:pPr>
        <w:spacing w:line="360" w:lineRule="auto"/>
        <w:jc w:val="both"/>
      </w:pPr>
      <w:r>
        <w:rPr>
          <w:rFonts w:ascii="Arial" w:hAnsi="Arial"/>
          <w:b w:val="0"/>
          <w:i w:val="0"/>
          <w:sz w:val="28"/>
        </w:rPr>
        <w:t>La justificación del criterio es contundente: al desecharse o negarse la solicitud, la persona sentenciada permanece privada de su libertad, pues debe continuar cumpliendo la pena de prisión en los términos y por el tiempo decretados en la sentencia condenatoria, de suerte que el acto reclamado determina de forma indirecta su permanencia en prisión al frustrar su pretensión de acceder al beneficio. Por ello el propio Pleno Regional puntualizó que la excepción opera sin importar el fundamento legal de la solicitud, lo que priva de toda relevancia a la ley de ejecución concreta que la haya regido.</w:t>
      </w:r>
    </w:p>
    <w:p>
      <w:pPr>
        <w:spacing w:line="360" w:lineRule="auto"/>
        <w:jc w:val="both"/>
      </w:pPr>
      <w:r>
        <w:rPr>
          <w:rFonts w:ascii="Arial" w:hAnsi="Arial"/>
          <w:b w:val="0"/>
          <w:i w:val="0"/>
          <w:sz w:val="28"/>
        </w:rPr>
        <w:t>A lo anterior se suma el estándar que gobierna el desechamiento de plano. Conforme al artículo 113 de la Ley de Amparo, la demanda sólo puede desecharse ante un motivo manifiesto e indudable de improcedencia, y la doctrina precisa que ello exige que la causa se advierta en forma patente en el material de que dispone el juzgador y que éste tenga, además, la certidumbre y la plena convicción de que es operante, de tal modo que, aun admitida la demanda y substanciado el procedimiento, no fuera factible obtener una conclusión diversa.</w:t>
      </w:r>
      <w:r>
        <w:rPr>
          <w:rFonts w:ascii="Arial" w:hAnsi="Arial"/>
          <w:vertAlign w:val="superscript"/>
        </w:rPr>
        <w:t>3</w:t>
      </w:r>
    </w:p>
    <w:p>
      <w:pPr>
        <w:spacing w:line="360" w:lineRule="auto"/>
        <w:jc w:val="both"/>
      </w:pPr>
      <w:r>
        <w:rPr>
          <w:rFonts w:ascii="Arial" w:hAnsi="Arial"/>
          <w:b w:val="0"/>
          <w:i w:val="0"/>
          <w:sz w:val="28"/>
        </w:rPr>
        <w:t>Un punto que la jurisprudencia obligatoria ha resuelto expresamente en favor de la procedencia jamás puede calificarse, en sentido contrario, de motivo manifiesto e indudable.</w:t>
      </w:r>
    </w:p>
    <w:p>
      <w:pPr>
        <w:spacing w:line="360" w:lineRule="auto"/>
        <w:jc w:val="both"/>
      </w:pPr>
      <w:r>
        <w:rPr>
          <w:rFonts w:ascii="Arial" w:hAnsi="Arial"/>
          <w:b/>
          <w:sz w:val="28"/>
        </w:rPr>
        <w:t>IV. Aplicación al caso concreto y refutación de la consideración recurrida.</w:t>
      </w:r>
    </w:p>
    <w:p>
      <w:pPr>
        <w:spacing w:line="360" w:lineRule="auto"/>
        <w:jc w:val="both"/>
      </w:pPr>
      <w:r>
        <w:rPr>
          <w:rFonts w:ascii="Arial" w:hAnsi="Arial"/>
          <w:b w:val="0"/>
          <w:i w:val="0"/>
          <w:sz w:val="28"/>
        </w:rPr>
        <w:t xml:space="preserve">La premisa menor del silogismo es incontrovertible: el acto reclamado en la demanda desechada es la resolución del </w:t>
      </w:r>
      <w:r>
        <w:rPr>
          <w:rFonts w:ascii="Arial" w:hAnsi="Arial"/>
          <w:b/>
          <w:i w:val="0"/>
          <w:sz w:val="28"/>
        </w:rPr>
        <w:t>[JUEZ DE EJECUCIÓN RESPONSABLE]</w:t>
      </w:r>
      <w:r>
        <w:rPr>
          <w:rFonts w:ascii="Arial" w:hAnsi="Arial"/>
          <w:b w:val="0"/>
          <w:i w:val="0"/>
          <w:sz w:val="28"/>
        </w:rPr>
        <w:t xml:space="preserve"> que desechó de plano la solicitud del beneficio preliberacional de </w:t>
      </w:r>
      <w:r>
        <w:rPr>
          <w:rFonts w:ascii="Arial" w:hAnsi="Arial"/>
          <w:b/>
          <w:i w:val="0"/>
          <w:sz w:val="28"/>
        </w:rPr>
        <w:t>[BENEFICIO PRELIBERACIONAL SOLICITADO]</w:t>
      </w:r>
      <w:r>
        <w:rPr>
          <w:rFonts w:ascii="Arial" w:hAnsi="Arial"/>
          <w:b w:val="0"/>
          <w:i w:val="0"/>
          <w:sz w:val="28"/>
        </w:rPr>
        <w:t>. Se trata, palabra por palabra, de la hipótesis de la jurisprudencia transcrita: una resolución judicial que desecha de plano o niega una solicitud de beneficios preliberacionales.</w:t>
      </w:r>
    </w:p>
    <w:p>
      <w:pPr>
        <w:spacing w:line="360" w:lineRule="auto"/>
        <w:jc w:val="both"/>
      </w:pPr>
      <w:r>
        <w:rPr>
          <w:rFonts w:ascii="Arial" w:hAnsi="Arial"/>
          <w:b w:val="0"/>
          <w:i w:val="0"/>
          <w:sz w:val="28"/>
        </w:rPr>
        <w:t>La subsunción es directa y no requiere ejercicio interpretativo adicional: el caso encuadra en la excepción del inciso b) de la fracción XVIII del artículo 61 de la Ley de Amparo, porque la determinación reclamada mantiene a la persona quejosa privada de su libertad.</w:t>
      </w:r>
    </w:p>
    <w:p>
      <w:pPr>
        <w:spacing w:line="360" w:lineRule="auto"/>
        <w:jc w:val="both"/>
      </w:pPr>
      <w:r>
        <w:rPr>
          <w:rFonts w:ascii="Arial" w:hAnsi="Arial"/>
          <w:b w:val="0"/>
          <w:i w:val="0"/>
          <w:sz w:val="28"/>
        </w:rPr>
        <w:t>Frente a ello, la consideración recurrida se sostiene sobre un razonamiento lógicamente viciado. Al exigir el agotamiento de la apelación, el juzgado de distrito incurrió en el defecto que la teoría de la argumentación jurídica denomina falacia de accidente, también llamada secundum quid, consistente en aplicar una regla general sin tener en cuenta sus posibles y justificadas excepciones</w:t>
      </w:r>
      <w:r>
        <w:rPr>
          <w:rFonts w:ascii="Arial" w:hAnsi="Arial"/>
          <w:vertAlign w:val="superscript"/>
        </w:rPr>
        <w:t>4</w:t>
      </w:r>
      <w:r>
        <w:rPr>
          <w:rFonts w:ascii="Arial" w:hAnsi="Arial"/>
          <w:b w:val="0"/>
          <w:i w:val="0"/>
          <w:sz w:val="28"/>
        </w:rPr>
        <w:t>. El auto tomó la regla —deben agotarse los recursos ordinarios antes del amparo— y la proyectó mecánicamente sobre un supuesto que el propio legislador sustrajo de su ámbito.</w:t>
      </w:r>
    </w:p>
    <w:p>
      <w:pPr>
        <w:spacing w:line="360" w:lineRule="auto"/>
        <w:jc w:val="both"/>
      </w:pPr>
      <w:r>
        <w:rPr>
          <w:rFonts w:ascii="Arial" w:hAnsi="Arial"/>
          <w:b w:val="0"/>
          <w:i w:val="0"/>
          <w:sz w:val="28"/>
        </w:rPr>
        <w:t>Este sofisma se comete al aplicar rígidamente una regla como si no existieran excepciones, olvidando que en el caso particular concurre una circunstancia especial que vuelve la regla inaplicable</w:t>
      </w:r>
      <w:r>
        <w:rPr>
          <w:rFonts w:ascii="Arial" w:hAnsi="Arial"/>
          <w:vertAlign w:val="superscript"/>
        </w:rPr>
        <w:t>5</w:t>
      </w:r>
      <w:r>
        <w:rPr>
          <w:rFonts w:ascii="Arial" w:hAnsi="Arial"/>
          <w:b w:val="0"/>
          <w:i w:val="0"/>
          <w:sz w:val="28"/>
        </w:rPr>
        <w:t>. La circunstancia especial está aquí a la vista: el acto reclamado afecta indirectamente la libertad personal, y esa afectación es exactamente el elemento que el inciso b) erige en frontera de la regla de definitividad.</w:t>
      </w:r>
    </w:p>
    <w:p>
      <w:pPr>
        <w:spacing w:line="360" w:lineRule="auto"/>
        <w:jc w:val="both"/>
      </w:pPr>
      <w:r>
        <w:rPr>
          <w:rFonts w:ascii="Arial" w:hAnsi="Arial"/>
          <w:b w:val="0"/>
          <w:i w:val="0"/>
          <w:sz w:val="28"/>
        </w:rPr>
        <w:t>Quien razona como el auto recurrido confunde una regla general, abierta a excepciones expresas, con una regla absoluta, y con ello desnaturaliza el sistema de procedencia diseñado por el legislador.</w:t>
      </w:r>
    </w:p>
    <w:p>
      <w:pPr>
        <w:spacing w:line="360" w:lineRule="auto"/>
        <w:jc w:val="both"/>
      </w:pPr>
      <w:r>
        <w:rPr>
          <w:rFonts w:ascii="Arial" w:hAnsi="Arial"/>
          <w:b w:val="0"/>
          <w:i w:val="0"/>
          <w:sz w:val="28"/>
        </w:rPr>
        <w:t>La estructura del error se aprecia con claridad si se reconstruye el razonamiento combatido: el juzgado partió de que todo acto dictado en ejecución penal admite apelación; advirtió que la persona quejosa no la interpuso; y concluyó que la demanda era improcedente. Lo que el silogismo omite es la premisa normativa intermedia que el legislador introdujo: si el acto afecta la libertad personal, directa o indirectamente, el agotamiento no es exigible. Omitida la excepción, la conclusión no se sostiene, pues descansa sobre una regla mutilada, y el razonamiento correcto conduce al resultado opuesto: la admisión de la demanda.</w:t>
      </w:r>
    </w:p>
    <w:p>
      <w:pPr>
        <w:spacing w:line="360" w:lineRule="auto"/>
        <w:jc w:val="both"/>
      </w:pPr>
      <w:r>
        <w:rPr>
          <w:rFonts w:ascii="Arial" w:hAnsi="Arial"/>
          <w:b w:val="0"/>
          <w:i w:val="0"/>
          <w:sz w:val="28"/>
        </w:rPr>
        <w:t>Tampoco resiste el análisis el argumento de que la restricción de la libertad deriva de la sentencia condenatoria firme y no del acto reclamado, por encontrarse la persona sentenciada compurgando la pena. Esa fue precisamente la postura que el Pleno Regional examinó y desestimó al resolver la contradicción de criterios 83/2025: lo jurídicamente relevante no es el origen remoto de la privación de la libertad, sino que la negativa del beneficio determina su permanencia.</w:t>
      </w:r>
    </w:p>
    <w:p>
      <w:pPr>
        <w:spacing w:line="360" w:lineRule="auto"/>
        <w:jc w:val="both"/>
      </w:pPr>
      <w:r>
        <w:rPr>
          <w:rFonts w:ascii="Arial" w:hAnsi="Arial"/>
          <w:b w:val="0"/>
          <w:i w:val="0"/>
          <w:sz w:val="28"/>
        </w:rPr>
        <w:t>Con aquel argumento, además, el auto desplaza la litis, pues en lugar de responder si el acto afecta indirectamente la libertad —único punto pertinente conforme al inciso b)—, responde a una cuestión distinta: cuál es la fuente originaria de la reclusión.</w:t>
      </w:r>
    </w:p>
    <w:p>
      <w:pPr>
        <w:spacing w:line="360" w:lineRule="auto"/>
        <w:jc w:val="both"/>
      </w:pPr>
      <w:r>
        <w:rPr>
          <w:rFonts w:ascii="Arial" w:hAnsi="Arial"/>
          <w:b w:val="0"/>
          <w:i w:val="0"/>
          <w:sz w:val="28"/>
        </w:rPr>
        <w:t>Por último, aun en la hipótesis más favorable a la consideración recurrida, la existencia de jurisprudencia obligatoria publicada el viernes 21 de agosto de 2026, y de observancia obligatoria a partir del lunes 24 de agosto de 2026, elimina cualquier posibilidad de calificar la supuesta improcedencia como manifiesta e indudable en los términos del artículo 113 de la Ley de Amparo. Lo manifiesto e indudable, en todo caso, es lo contrario: que la vía constitucional está abierta sin necesidad de agotar la apelación, por así haberlo definido el órgano al que la ley encomienda unificar los criterios de la región.</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auto recurrido aplicó inexactamente el artículo 61, fracción XVIII, de la Ley de Amparo, al invocar la regla general de definitividad respecto de un acto expresamente exceptuado por el inciso b) de esa fracción, e inobservó la jurisprudencia PR.P.T.CN. J/13 P (12a.), de aplicación obligatoria, que resuelve el punto de manera categórica. El desechamiento de plano carece, por tanto, de un motivo manifiesto e indudable que lo sustente.</w:t>
      </w:r>
    </w:p>
    <w:p>
      <w:pPr>
        <w:spacing w:line="360" w:lineRule="auto"/>
        <w:jc w:val="both"/>
      </w:pPr>
      <w:r>
        <w:rPr>
          <w:rFonts w:ascii="Arial" w:hAnsi="Arial"/>
          <w:b w:val="0"/>
          <w:i w:val="0"/>
          <w:sz w:val="28"/>
        </w:rPr>
        <w:t xml:space="preserve">Por lo expuesto, procede declarar fundado el presente agravio, revocar el auto de </w:t>
      </w:r>
      <w:r>
        <w:rPr>
          <w:rFonts w:ascii="Arial" w:hAnsi="Arial"/>
          <w:b/>
          <w:i w:val="0"/>
          <w:sz w:val="28"/>
        </w:rPr>
        <w:t>[FECHA DEL AUTO RECURRIDO]</w:t>
      </w:r>
      <w:r>
        <w:rPr>
          <w:rFonts w:ascii="Arial" w:hAnsi="Arial"/>
          <w:b w:val="0"/>
          <w:i w:val="0"/>
          <w:sz w:val="28"/>
        </w:rPr>
        <w:t xml:space="preserve"> dictado en el juicio de amparo </w:t>
      </w:r>
      <w:r>
        <w:rPr>
          <w:rFonts w:ascii="Arial" w:hAnsi="Arial"/>
          <w:b/>
          <w:i w:val="0"/>
          <w:sz w:val="28"/>
        </w:rPr>
        <w:t>[NÚMERO DEL JUICIO DE AMPARO]</w:t>
      </w:r>
      <w:r>
        <w:rPr>
          <w:rFonts w:ascii="Arial" w:hAnsi="Arial"/>
          <w:b w:val="0"/>
          <w:i w:val="0"/>
          <w:sz w:val="28"/>
        </w:rPr>
        <w:t xml:space="preserve"> y ordenar al </w:t>
      </w:r>
      <w:r>
        <w:rPr>
          <w:rFonts w:ascii="Arial" w:hAnsi="Arial"/>
          <w:b/>
          <w:i w:val="0"/>
          <w:sz w:val="28"/>
        </w:rPr>
        <w:t>[JUZGADO DE DISTRITO DEL CONOCIMIENTO]</w:t>
      </w:r>
      <w:r>
        <w:rPr>
          <w:rFonts w:ascii="Arial" w:hAnsi="Arial"/>
          <w:b w:val="0"/>
          <w:i w:val="0"/>
          <w:sz w:val="28"/>
        </w:rPr>
        <w:t xml:space="preserve"> que, de no advertir un motivo de improcedencia diverso, manifiesto e indudable, admita a trámite la demanda de amparo indirecto promovida por </w:t>
      </w:r>
      <w:r>
        <w:rPr>
          <w:rFonts w:ascii="Arial" w:hAnsi="Arial"/>
          <w:b/>
          <w:i w:val="0"/>
          <w:sz w:val="28"/>
        </w:rPr>
        <w:t>[NOMBRE DE LA PERSONA QUEJOSA]</w:t>
      </w:r>
      <w:r>
        <w:rPr>
          <w:rFonts w:ascii="Arial" w:hAnsi="Arial"/>
          <w:b w:val="0"/>
          <w:i w:val="0"/>
          <w:sz w:val="28"/>
        </w:rPr>
        <w:t xml:space="preserve"> contra la resolución que desechó su solicitud del beneficio preliberacional, y provea lo conducente respecto de las medidas que en derecho correspondan.</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 pp. 159-160.</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CARRANCO ZÚÑIGA, op. cit.</w:t>
      </w:r>
      <w:r>
        <w:rPr>
          <w:rFonts w:ascii="Arial" w:hAnsi="Arial"/>
          <w:i w:val="0"/>
          <w:sz w:val="20"/>
        </w:rPr>
        <w:t>, p. 182.</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CARRANCO ZÚÑIGA, op. cit.</w:t>
      </w:r>
      <w:r>
        <w:rPr>
          <w:rFonts w:ascii="Arial" w:hAnsi="Arial"/>
          <w:i w:val="0"/>
          <w:sz w:val="20"/>
        </w:rPr>
        <w:t>, p. 258.</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429.</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84.</w:t>
      </w:r>
    </w:p>
    <w:p/>
    <w:p>
      <w:r>
        <w:rPr>
          <w:rFonts w:ascii="Arial" w:hAnsi="Arial"/>
          <w:b/>
          <w:sz w:val="22"/>
        </w:rPr>
        <w:t>BIBLIOGRAFÍA</w:t>
      </w:r>
    </w:p>
    <w:p>
      <w:pPr>
        <w:spacing w:after="60"/>
        <w:ind w:left="360" w:hanging="360"/>
        <w:jc w:val="both"/>
      </w:pPr>
      <w:r>
        <w:rPr>
          <w:rFonts w:ascii="Arial" w:hAnsi="Arial"/>
          <w:i w:val="0"/>
          <w:sz w:val="20"/>
        </w:rPr>
        <w:t xml:space="preserve">CARRANCO ZÚÑIGA, Joel, </w:t>
      </w:r>
      <w:r>
        <w:rPr>
          <w:rFonts w:ascii="Arial" w:hAnsi="Arial"/>
          <w:i/>
          <w:sz w:val="20"/>
        </w:rPr>
        <w:t>Juicio de amparo. Procedencia y sobreseimiento</w:t>
      </w:r>
      <w:r>
        <w:rPr>
          <w:rFonts w:ascii="Arial" w:hAnsi="Arial"/>
          <w:i w:val="0"/>
          <w:sz w:val="20"/>
        </w:rPr>
        <w:t>, 6ª ed., Porrúa, México, 2020.</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