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SUSPENSIÓN EN AMPARO INDIRECTO. REAPERTURA DE INVESTIGACIÓN DE RESPONSABILIDAD ADMINISTRATIVA CON EFECTOS MODULADOS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e insértalo como apartado de suspensión en tu demanda de amparo indirecto, después de los conceptos de violación. Antes de llenarlo, ten a la vista la interlocutoria reclamada, el acuerdo de archivo que revocó y la ley de responsabilidades que rige tu asunto, para localizar el precepto que regula la prescripción y el efecto del informe de presunta responsabilidad.</w:t>
      </w:r>
    </w:p>
    <w:p>
      <w:pPr>
        <w:spacing w:line="360" w:lineRule="auto"/>
        <w:jc w:val="both"/>
      </w:pPr>
      <w:r>
        <w:rPr>
          <w:rFonts w:ascii="Arial" w:hAnsi="Arial"/>
          <w:b w:val="0"/>
          <w:i w:val="0"/>
          <w:sz w:val="24"/>
        </w:rPr>
        <w:t>Llena los campos, ajusta la síntesis del vicio para que coincida con tus conceptos de violación y, si el asunto se rige por la legislación de Nuevo León, elimina la última oración del párrafo sobre el alcance de la jurisprudencia. Verifica que el acto reclamado y las autoridades responsables de la demanda coincidan con los que menciona este apartado. Presenta la demanda dentro del plazo que fija la Ley de Amparo, contado conforme a sus reglas de notificación.</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[NOMBRE DE LA PERSONA QUEJOSA]</w:t>
      </w:r>
      <w:r>
        <w:rPr>
          <w:rFonts w:ascii="Arial" w:hAnsi="Arial"/>
          <w:b w:val="0"/>
          <w:i w:val="0"/>
          <w:sz w:val="24"/>
        </w:rPr>
        <w:t>: nombre completo de la persona servidora pública que promueve el amparo.</w:t>
      </w:r>
    </w:p>
    <w:p>
      <w:pPr>
        <w:spacing w:line="360" w:lineRule="auto"/>
        <w:jc w:val="both"/>
      </w:pPr>
      <w:r>
        <w:rPr>
          <w:rFonts w:ascii="Arial" w:hAnsi="Arial"/>
          <w:b/>
          <w:i w:val="0"/>
          <w:sz w:val="24"/>
        </w:rPr>
        <w:t>[CARGO O ADSCRIPCIÓN DE LA PERSONA QUEJOSA]</w:t>
      </w:r>
      <w:r>
        <w:rPr>
          <w:rFonts w:ascii="Arial" w:hAnsi="Arial"/>
          <w:b w:val="0"/>
          <w:i w:val="0"/>
          <w:sz w:val="24"/>
        </w:rPr>
        <w:t>: cargo y dependencia con que se le atribuyen los hechos.</w:t>
      </w:r>
    </w:p>
    <w:p>
      <w:pPr>
        <w:spacing w:line="360" w:lineRule="auto"/>
        <w:jc w:val="both"/>
      </w:pPr>
      <w:r>
        <w:rPr>
          <w:rFonts w:ascii="Arial" w:hAnsi="Arial"/>
          <w:b/>
          <w:i w:val="0"/>
          <w:sz w:val="24"/>
        </w:rPr>
        <w:t>[FECHA DE LA SENTENCIA INTERLOCUTORIA RECLAMADA]</w:t>
      </w:r>
      <w:r>
        <w:rPr>
          <w:rFonts w:ascii="Arial" w:hAnsi="Arial"/>
          <w:b w:val="0"/>
          <w:i w:val="0"/>
          <w:sz w:val="24"/>
        </w:rPr>
        <w:t>: fecha de la resolución del recurso de inconformidad que ordenó reabrir la investigación.</w:t>
      </w:r>
    </w:p>
    <w:p>
      <w:pPr>
        <w:spacing w:line="360" w:lineRule="auto"/>
        <w:jc w:val="both"/>
      </w:pPr>
      <w:r>
        <w:rPr>
          <w:rFonts w:ascii="Arial" w:hAnsi="Arial"/>
          <w:b/>
          <w:i w:val="0"/>
          <w:sz w:val="24"/>
        </w:rPr>
        <w:t>[FECHA DE NOTIFICACIÓN DE LA SENTENCIA INTERLOCUTORIA]</w:t>
      </w:r>
      <w:r>
        <w:rPr>
          <w:rFonts w:ascii="Arial" w:hAnsi="Arial"/>
          <w:b w:val="0"/>
          <w:i w:val="0"/>
          <w:sz w:val="24"/>
        </w:rPr>
        <w:t>: fecha en que se notificó a la persona quejosa, que sirve para acreditar la oportunidad.</w:t>
      </w:r>
    </w:p>
    <w:p>
      <w:pPr>
        <w:spacing w:line="360" w:lineRule="auto"/>
        <w:jc w:val="both"/>
      </w:pPr>
      <w:r>
        <w:rPr>
          <w:rFonts w:ascii="Arial" w:hAnsi="Arial"/>
          <w:b/>
          <w:i w:val="0"/>
          <w:sz w:val="24"/>
        </w:rPr>
        <w:t>[SALA O TRIBUNAL QUE DICTÓ LA INTERLOCUTORIA]</w:t>
      </w:r>
      <w:r>
        <w:rPr>
          <w:rFonts w:ascii="Arial" w:hAnsi="Arial"/>
          <w:b w:val="0"/>
          <w:i w:val="0"/>
          <w:sz w:val="24"/>
        </w:rPr>
        <w:t>: denominación completa del órgano que resolvió el recurso de inconformidad.</w:t>
      </w:r>
    </w:p>
    <w:p>
      <w:pPr>
        <w:spacing w:line="360" w:lineRule="auto"/>
        <w:jc w:val="both"/>
      </w:pPr>
      <w:r>
        <w:rPr>
          <w:rFonts w:ascii="Arial" w:hAnsi="Arial"/>
          <w:b/>
          <w:i w:val="0"/>
          <w:sz w:val="24"/>
        </w:rPr>
        <w:t>[NÚMERO DEL RECURSO DE INCONFORMIDAD]</w:t>
      </w:r>
      <w:r>
        <w:rPr>
          <w:rFonts w:ascii="Arial" w:hAnsi="Arial"/>
          <w:b w:val="0"/>
          <w:i w:val="0"/>
          <w:sz w:val="24"/>
        </w:rPr>
        <w:t>: expediente del recurso ante la Sala.</w:t>
      </w:r>
    </w:p>
    <w:p>
      <w:pPr>
        <w:spacing w:line="360" w:lineRule="auto"/>
        <w:jc w:val="both"/>
      </w:pPr>
      <w:r>
        <w:rPr>
          <w:rFonts w:ascii="Arial" w:hAnsi="Arial"/>
          <w:b/>
          <w:i w:val="0"/>
          <w:sz w:val="24"/>
        </w:rPr>
        <w:t>[AUTORIDAD INVESTIGADORA]</w:t>
      </w:r>
      <w:r>
        <w:rPr>
          <w:rFonts w:ascii="Arial" w:hAnsi="Arial"/>
          <w:b w:val="0"/>
          <w:i w:val="0"/>
          <w:sz w:val="24"/>
        </w:rPr>
        <w:t>: denominación de la autoridad que archivó la denuncia y que deberá reabrir la investigación; señálala también como responsable ejecutora en la demanda.</w:t>
      </w:r>
    </w:p>
    <w:p>
      <w:pPr>
        <w:spacing w:line="360" w:lineRule="auto"/>
        <w:jc w:val="both"/>
      </w:pPr>
      <w:r>
        <w:rPr>
          <w:rFonts w:ascii="Arial" w:hAnsi="Arial"/>
          <w:b/>
          <w:i w:val="0"/>
          <w:sz w:val="24"/>
        </w:rPr>
        <w:t>[NÚMERO DEL EXPEDIENTE DE INVESTIGACIÓN]</w:t>
      </w:r>
      <w:r>
        <w:rPr>
          <w:rFonts w:ascii="Arial" w:hAnsi="Arial"/>
          <w:b w:val="0"/>
          <w:i w:val="0"/>
          <w:sz w:val="24"/>
        </w:rPr>
        <w:t>: expediente de la investigación administrativa.</w:t>
      </w:r>
    </w:p>
    <w:p>
      <w:pPr>
        <w:spacing w:line="360" w:lineRule="auto"/>
        <w:jc w:val="both"/>
      </w:pPr>
      <w:r>
        <w:rPr>
          <w:rFonts w:ascii="Arial" w:hAnsi="Arial"/>
          <w:b/>
          <w:i w:val="0"/>
          <w:sz w:val="24"/>
        </w:rPr>
        <w:t>[FECHA DEL ACUERDO DE ARCHIVO DE LA DENUNCIA]</w:t>
      </w:r>
      <w:r>
        <w:rPr>
          <w:rFonts w:ascii="Arial" w:hAnsi="Arial"/>
          <w:b w:val="0"/>
          <w:i w:val="0"/>
          <w:sz w:val="24"/>
        </w:rPr>
        <w:t>: fecha del acuerdo que archivó o desechó la denuncia.</w:t>
      </w:r>
    </w:p>
    <w:p>
      <w:pPr>
        <w:spacing w:line="360" w:lineRule="auto"/>
        <w:jc w:val="both"/>
      </w:pPr>
      <w:r>
        <w:rPr>
          <w:rFonts w:ascii="Arial" w:hAnsi="Arial"/>
          <w:b/>
          <w:i w:val="0"/>
          <w:sz w:val="24"/>
        </w:rPr>
        <w:t>[FECHA DE LOS HECHOS DENUNCIADOS]</w:t>
      </w:r>
      <w:r>
        <w:rPr>
          <w:rFonts w:ascii="Arial" w:hAnsi="Arial"/>
          <w:b w:val="0"/>
          <w:i w:val="0"/>
          <w:sz w:val="24"/>
        </w:rPr>
        <w:t>: fecha o periodo de la conducta denunciada, para mostrar que la prescripción corre.</w:t>
      </w:r>
    </w:p>
    <w:p>
      <w:pPr>
        <w:spacing w:line="360" w:lineRule="auto"/>
        <w:jc w:val="both"/>
      </w:pPr>
      <w:r>
        <w:rPr>
          <w:rFonts w:ascii="Arial" w:hAnsi="Arial"/>
          <w:b/>
          <w:i w:val="0"/>
          <w:sz w:val="24"/>
        </w:rPr>
        <w:t>[PRECEPTO SOBRE PRESCRIPCIÓN DE LA LEY DE RESPONSABILIDADES APLICABLE]</w:t>
      </w:r>
      <w:r>
        <w:rPr>
          <w:rFonts w:ascii="Arial" w:hAnsi="Arial"/>
          <w:b w:val="0"/>
          <w:i w:val="0"/>
          <w:sz w:val="24"/>
        </w:rPr>
        <w:t>: artículo de la ley de responsabilidades que rige tu asunto sobre prescripción y su interrupción por el informe de presunta responsabilidad.</w:t>
      </w:r>
    </w:p>
    <w:p>
      <w:pPr>
        <w:spacing w:line="360" w:lineRule="auto"/>
        <w:jc w:val="both"/>
      </w:pPr>
      <w:r>
        <w:rPr>
          <w:rFonts w:ascii="Arial" w:hAnsi="Arial"/>
          <w:b/>
          <w:i w:val="0"/>
          <w:sz w:val="24"/>
        </w:rPr>
        <w:t>[SÍNTESIS DEL VICIO ATRIBUIDO A LA INTERLOCUTORIA]</w:t>
      </w:r>
      <w:r>
        <w:rPr>
          <w:rFonts w:ascii="Arial" w:hAnsi="Arial"/>
          <w:b w:val="0"/>
          <w:i w:val="0"/>
          <w:sz w:val="24"/>
        </w:rPr>
        <w:t>: una o dos oraciones que resuman tus conceptos de violación.</w:t>
      </w:r>
    </w:p>
    <w:p>
      <w:pPr>
        <w:spacing w:line="360" w:lineRule="auto"/>
        <w:jc w:val="both"/>
      </w:pPr>
      <w:r>
        <w:rPr>
          <w:rFonts w:ascii="Arial" w:hAnsi="Arial"/>
          <w:b/>
          <w:i w:val="0"/>
          <w:sz w:val="24"/>
        </w:rPr>
        <w:t>[JUZGADO DE DISTRITO]</w:t>
      </w:r>
      <w:r>
        <w:rPr>
          <w:rFonts w:ascii="Arial" w:hAnsi="Arial"/>
          <w:b w:val="0"/>
          <w:i w:val="0"/>
          <w:sz w:val="24"/>
        </w:rPr>
        <w:t>: denominación completa del Juzgado de Distrito ante el que se promueve.</w:t>
      </w:r>
    </w:p>
    <w:p/>
    <w:p>
      <w:pPr>
        <w:spacing w:line="360" w:lineRule="auto"/>
        <w:jc w:val="both"/>
      </w:pPr>
      <w:r>
        <w:rPr>
          <w:rFonts w:ascii="Arial" w:hAnsi="Arial"/>
          <w:b/>
          <w:sz w:val="28"/>
        </w:rPr>
        <w:t>SUSPENSIÓN DEL ACTO RECLAMADO. Solicitud de suspensión provisional y definitiva, con efectos modulados, contra la sentencia interlocutoria que revocó el archivo de la denuncia y ordenó reabrir la investigación de responsabilidad administrativa: la autoridad investigadora podrá continuar la indagatoria, pero deberá abstenerse de determinar la existencia de la falta, de calificarla y de emitir el informe de presunta responsabilidad administrativa hasta que se resuelva el fondo del juicio, conforme a los artículos 128, fracciones III y IV, y 150 de la Ley de Amparo.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Con fundamento en los artículos 107, fracción X, de la Constitución Política de los Estados Unidos Mexicanos y 125, 128, 138, 139, 147 y 150 de la Ley de Amparo, </w:t>
      </w:r>
      <w:r>
        <w:rPr>
          <w:rFonts w:ascii="Arial" w:hAnsi="Arial"/>
          <w:b/>
          <w:i w:val="0"/>
          <w:sz w:val="28"/>
        </w:rPr>
        <w:t>[NOMBRE DE LA PERSONA QUEJOSA]</w:t>
      </w:r>
      <w:r>
        <w:rPr>
          <w:rFonts w:ascii="Arial" w:hAnsi="Arial"/>
          <w:b w:val="0"/>
          <w:i w:val="0"/>
          <w:sz w:val="28"/>
        </w:rPr>
        <w:t xml:space="preserve"> solicita la suspensión provisional y, en su oportunidad, la definitiva, respecto de la sentencia interlocutoria de </w:t>
      </w:r>
      <w:r>
        <w:rPr>
          <w:rFonts w:ascii="Arial" w:hAnsi="Arial"/>
          <w:b/>
          <w:i w:val="0"/>
          <w:sz w:val="28"/>
        </w:rPr>
        <w:t>[FECHA DE LA SENTENCIA INTERLOCUTORIA RECLAMADA]</w:t>
      </w:r>
      <w:r>
        <w:rPr>
          <w:rFonts w:ascii="Arial" w:hAnsi="Arial"/>
          <w:b w:val="0"/>
          <w:i w:val="0"/>
          <w:sz w:val="28"/>
        </w:rPr>
        <w:t xml:space="preserve">, dictada por </w:t>
      </w:r>
      <w:r>
        <w:rPr>
          <w:rFonts w:ascii="Arial" w:hAnsi="Arial"/>
          <w:b/>
          <w:i w:val="0"/>
          <w:sz w:val="28"/>
        </w:rPr>
        <w:t>[SALA O TRIBUNAL QUE DICTÓ LA INTERLOCUTORIA]</w:t>
      </w:r>
      <w:r>
        <w:rPr>
          <w:rFonts w:ascii="Arial" w:hAnsi="Arial"/>
          <w:b w:val="0"/>
          <w:i w:val="0"/>
          <w:sz w:val="28"/>
        </w:rPr>
        <w:t xml:space="preserve"> en el recurso de inconformidad </w:t>
      </w:r>
      <w:r>
        <w:rPr>
          <w:rFonts w:ascii="Arial" w:hAnsi="Arial"/>
          <w:b/>
          <w:i w:val="0"/>
          <w:sz w:val="28"/>
        </w:rPr>
        <w:t>[NÚMERO DEL RECURSO DE INCONFORMIDAD]</w:t>
      </w:r>
      <w:r>
        <w:rPr>
          <w:rFonts w:ascii="Arial" w:hAnsi="Arial"/>
          <w:b w:val="0"/>
          <w:i w:val="0"/>
          <w:sz w:val="28"/>
        </w:rPr>
        <w:t xml:space="preserve">, que revocó el acuerdo de archivo de la denuncia y ordenó a </w:t>
      </w:r>
      <w:r>
        <w:rPr>
          <w:rFonts w:ascii="Arial" w:hAnsi="Arial"/>
          <w:b/>
          <w:i w:val="0"/>
          <w:sz w:val="28"/>
        </w:rPr>
        <w:t>[AUTORIDAD INVESTIGADORA]</w:t>
      </w:r>
      <w:r>
        <w:rPr>
          <w:rFonts w:ascii="Arial" w:hAnsi="Arial"/>
          <w:b w:val="0"/>
          <w:i w:val="0"/>
          <w:sz w:val="28"/>
        </w:rPr>
        <w:t xml:space="preserve"> reabrir la investigación de responsabilidad administrativa.</w:t>
      </w:r>
    </w:p>
    <w:p>
      <w:pPr>
        <w:spacing w:line="360" w:lineRule="auto"/>
        <w:jc w:val="both"/>
      </w:pPr>
      <w:r>
        <w:rPr>
          <w:rFonts w:ascii="Arial" w:hAnsi="Arial"/>
          <w:b w:val="0"/>
          <w:i w:val="0"/>
          <w:sz w:val="28"/>
        </w:rPr>
        <w:t>No se pide paralizar la investigación. Se pide, exactamente, lo que la jurisprudencia obligatoria del Pleno Regional ha fijado como punto de equilibrio: que la autoridad investigadora continúe indagando con plenitud de facultades, pero se abstenga de determinar la existencia o inexistencia de la falta, de calificarla y de formular el informe de presunta responsabilidad administrativa mientras este Juzgado de Distrito resuelve el fondo. Con esa modulación se conserva la materia del juicio, se evita un daño de imposible reparación y no se priva a la sociedad de beneficio alguno.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la sentencia interlocutoria de </w:t>
      </w:r>
      <w:r>
        <w:rPr>
          <w:rFonts w:ascii="Arial" w:hAnsi="Arial"/>
          <w:b/>
          <w:i w:val="0"/>
          <w:sz w:val="28"/>
        </w:rPr>
        <w:t>[FECHA DE LA SENTENCIA INTERLOCUTORIA RECLAMADA]</w:t>
      </w:r>
      <w:r>
        <w:rPr>
          <w:rFonts w:ascii="Arial" w:hAnsi="Arial"/>
          <w:b w:val="0"/>
          <w:i w:val="0"/>
          <w:sz w:val="28"/>
        </w:rPr>
        <w:t xml:space="preserve">, notificada a la persona quejosa el </w:t>
      </w:r>
      <w:r>
        <w:rPr>
          <w:rFonts w:ascii="Arial" w:hAnsi="Arial"/>
          <w:b/>
          <w:i w:val="0"/>
          <w:sz w:val="28"/>
        </w:rPr>
        <w:t>[FECHA DE NOTIFICACIÓN DE LA SENTENCIA INTERLOCUTORIA]</w:t>
      </w:r>
      <w:r>
        <w:rPr>
          <w:rFonts w:ascii="Arial" w:hAnsi="Arial"/>
          <w:b w:val="0"/>
          <w:i w:val="0"/>
          <w:sz w:val="28"/>
        </w:rPr>
        <w:t xml:space="preserve">, mediante la cual </w:t>
      </w:r>
      <w:r>
        <w:rPr>
          <w:rFonts w:ascii="Arial" w:hAnsi="Arial"/>
          <w:b/>
          <w:i w:val="0"/>
          <w:sz w:val="28"/>
        </w:rPr>
        <w:t>[SALA O TRIBUNAL QUE DICTÓ LA INTERLOCUTORIA]</w:t>
      </w:r>
      <w:r>
        <w:rPr>
          <w:rFonts w:ascii="Arial" w:hAnsi="Arial"/>
          <w:b w:val="0"/>
          <w:i w:val="0"/>
          <w:sz w:val="28"/>
        </w:rPr>
        <w:t xml:space="preserve"> declaró procedente el recurso de inconformidad promovido por la parte denunciante, revocó el acuerdo de </w:t>
      </w:r>
      <w:r>
        <w:rPr>
          <w:rFonts w:ascii="Arial" w:hAnsi="Arial"/>
          <w:b/>
          <w:i w:val="0"/>
          <w:sz w:val="28"/>
        </w:rPr>
        <w:t>[FECHA DEL ACUERDO DE ARCHIVO DE LA DENUNCIA]</w:t>
      </w:r>
      <w:r>
        <w:rPr>
          <w:rFonts w:ascii="Arial" w:hAnsi="Arial"/>
          <w:b w:val="0"/>
          <w:i w:val="0"/>
          <w:sz w:val="28"/>
        </w:rPr>
        <w:t xml:space="preserve"> que había archivado la denuncia en el expediente </w:t>
      </w:r>
      <w:r>
        <w:rPr>
          <w:rFonts w:ascii="Arial" w:hAnsi="Arial"/>
          <w:b/>
          <w:i w:val="0"/>
          <w:sz w:val="28"/>
        </w:rPr>
        <w:t>[NÚMERO DEL EXPEDIENTE DE INVESTIGACIÓN]</w:t>
      </w:r>
      <w:r>
        <w:rPr>
          <w:rFonts w:ascii="Arial" w:hAnsi="Arial"/>
          <w:b w:val="0"/>
          <w:i w:val="0"/>
          <w:sz w:val="28"/>
        </w:rPr>
        <w:t>.</w:t>
      </w:r>
    </w:p>
    <w:p>
      <w:pPr>
        <w:spacing w:line="360" w:lineRule="auto"/>
        <w:jc w:val="both"/>
      </w:pPr>
      <w:r>
        <w:rPr>
          <w:rFonts w:ascii="Arial" w:hAnsi="Arial"/>
          <w:b w:val="0"/>
          <w:i w:val="0"/>
          <w:sz w:val="28"/>
        </w:rPr>
        <w:t xml:space="preserve">En la misma resolución, la Sala instruyó a </w:t>
      </w:r>
      <w:r>
        <w:rPr>
          <w:rFonts w:ascii="Arial" w:hAnsi="Arial"/>
          <w:b/>
          <w:i w:val="0"/>
          <w:sz w:val="28"/>
        </w:rPr>
        <w:t>[AUTORIDAD INVESTIGADORA]</w:t>
      </w:r>
      <w:r>
        <w:rPr>
          <w:rFonts w:ascii="Arial" w:hAnsi="Arial"/>
          <w:b w:val="0"/>
          <w:i w:val="0"/>
          <w:sz w:val="28"/>
        </w:rPr>
        <w:t xml:space="preserve"> investigar los hechos atribuidos a la persona quejosa en su carácter de </w:t>
      </w:r>
      <w:r>
        <w:rPr>
          <w:rFonts w:ascii="Arial" w:hAnsi="Arial"/>
          <w:b/>
          <w:i w:val="0"/>
          <w:sz w:val="28"/>
        </w:rPr>
        <w:t>[CARGO O ADSCRIPCIÓN DE LA PERSONA QUEJOSA]</w:t>
      </w:r>
      <w:r>
        <w:rPr>
          <w:rFonts w:ascii="Arial" w:hAnsi="Arial"/>
          <w:b w:val="0"/>
          <w:i w:val="0"/>
          <w:sz w:val="28"/>
        </w:rPr>
        <w:t>.</w:t>
      </w:r>
    </w:p>
    <w:p>
      <w:pPr>
        <w:spacing w:line="360" w:lineRule="auto"/>
        <w:jc w:val="both"/>
      </w:pPr>
      <w:r>
        <w:rPr>
          <w:rFonts w:ascii="Arial" w:hAnsi="Arial"/>
          <w:b w:val="0"/>
          <w:i w:val="0"/>
          <w:sz w:val="28"/>
        </w:rPr>
        <w:t>La ejecución de esa determinación no se agota en la reapertura del expediente. Su cauce natural conduce a que la autoridad investigadora concluya la indagatoria, determine la existencia de la falta, la califique y emita el informe de presunta responsabilidad administrativa, acto con el que, conforme a la legislación de responsabilidades aplicable, se interrumpen los plazos de prescripción que corren a favor de la persona quejosa y se inicia formalmente el procedimiento sancionador. Ese es el tramo cuya consumación se pide evitar; no la investigación misma.</w:t>
      </w:r>
    </w:p>
    <w:p>
      <w:pPr>
        <w:spacing w:line="360" w:lineRule="auto"/>
        <w:jc w:val="both"/>
      </w:pPr>
      <w:r>
        <w:rPr>
          <w:rFonts w:ascii="Arial" w:hAnsi="Arial"/>
          <w:b w:val="0"/>
          <w:i w:val="0"/>
          <w:sz w:val="28"/>
        </w:rPr>
        <w:t>El interés suspensional de la persona quejosa, en los términos de la fracción II del artículo 128 de la Ley de Amparo, deriva de un principio de agravio inmediato: la reapertura ordenada la coloca de nuevo como sujeto de una investigación que ya había concluido con archivo, y la eventual calificación de la falta la convertiría en presunta responsable, con la interrupción de la prescripción que ello apareja. El acto existe, es cierto y su ejecución es inminente, con lo que se colma también la fracción I del propio precepto.</w:t>
      </w:r>
    </w:p>
    <w:p>
      <w:pPr>
        <w:spacing w:line="360" w:lineRule="auto"/>
        <w:jc w:val="both"/>
      </w:pPr>
      <w:r>
        <w:rPr>
          <w:rFonts w:ascii="Arial" w:hAnsi="Arial"/>
          <w:b/>
          <w:sz w:val="28"/>
        </w:rPr>
        <w:t>III. Desarrollo normativo y doctrinal. Premisa mayor.</w:t>
      </w:r>
    </w:p>
    <w:p>
      <w:pPr>
        <w:spacing w:line="360" w:lineRule="auto"/>
        <w:jc w:val="both"/>
      </w:pPr>
      <w:r>
        <w:rPr>
          <w:rFonts w:ascii="Arial" w:hAnsi="Arial"/>
          <w:b w:val="0"/>
          <w:i w:val="0"/>
          <w:sz w:val="28"/>
        </w:rPr>
        <w:t>El artículo 107, fracción X, de la Constitución dispone que los actos reclamados podrán ser objeto de suspensión en los casos y mediante las condiciones que determine la ley reglamentaria, y que el órgano jurisdiccional de amparo, cuando la naturaleza del acto lo permita, deberá realizar un análisis ponderado de la apariencia del buen derecho y del interés social.</w:t>
      </w:r>
    </w:p>
    <w:p>
      <w:pPr>
        <w:spacing w:line="360" w:lineRule="auto"/>
        <w:jc w:val="both"/>
      </w:pPr>
      <w:r>
        <w:rPr>
          <w:rFonts w:ascii="Arial" w:hAnsi="Arial"/>
          <w:b w:val="0"/>
          <w:i w:val="0"/>
          <w:sz w:val="28"/>
        </w:rPr>
        <w:t>La Ley de Amparo desarrolla ese mandato en el artículo 128, cuyo segundo párrafo exige que el análisis sea expreso y justificado, y enumera cuatro requisitos: existencia del acto, interés suspensional, ausencia de daño significativo a la colectividad y apariencia del buen derecho.</w:t>
      </w:r>
    </w:p>
    <w:p>
      <w:pPr>
        <w:spacing w:line="360" w:lineRule="auto"/>
        <w:jc w:val="both"/>
      </w:pPr>
      <w:r>
        <w:rPr>
          <w:rFonts w:ascii="Arial" w:hAnsi="Arial"/>
          <w:b w:val="0"/>
          <w:i w:val="0"/>
          <w:sz w:val="28"/>
        </w:rPr>
        <w:t>La doctrina procesal constitucional identifica tres presupuestos de toda medida cautelar, el peligro en la demora, la apariencia de buen derecho y el interés público, y explica que el proceso cautelar se caracteriza por su provisionalidad, su variabilidad y su instrumentalidad respecto del proceso principal.</w:t>
      </w:r>
      <w:r>
        <w:rPr>
          <w:rFonts w:ascii="Arial" w:hAnsi="Arial"/>
          <w:vertAlign w:val="superscript"/>
        </w:rPr>
        <w:t>1</w:t>
      </w:r>
      <w:r>
        <w:rPr>
          <w:rFonts w:ascii="Arial" w:hAnsi="Arial"/>
          <w:b w:val="0"/>
          <w:i w:val="0"/>
          <w:sz w:val="28"/>
        </w:rPr>
        <w:t xml:space="preserve"> La suspensión del amparo no es, pues, un fin en sí misma: sirve para que la sentencia de fondo, cuando llegue, todavía tenga algo que proteger.</w:t>
      </w:r>
    </w:p>
    <w:p>
      <w:pPr>
        <w:spacing w:line="360" w:lineRule="auto"/>
        <w:jc w:val="both"/>
      </w:pPr>
      <w:r>
        <w:rPr>
          <w:rFonts w:ascii="Arial" w:hAnsi="Arial"/>
          <w:b w:val="0"/>
          <w:i w:val="0"/>
          <w:sz w:val="28"/>
        </w:rPr>
        <w:t>Sobre el tercer presupuesto, la misma doctrina advierte que el interés público capaz de vencer la tutela cautelar no es cualquier interés genérico, sino uno especialmente calificado, que convierta en gravosa la medida solicitada.</w:t>
      </w:r>
      <w:r>
        <w:rPr>
          <w:rFonts w:ascii="Arial" w:hAnsi="Arial"/>
          <w:vertAlign w:val="superscript"/>
        </w:rPr>
        <w:t>2</w:t>
      </w:r>
      <w:r>
        <w:rPr>
          <w:rFonts w:ascii="Arial" w:hAnsi="Arial"/>
          <w:b w:val="0"/>
          <w:i w:val="0"/>
          <w:sz w:val="28"/>
        </w:rPr>
        <w:t xml:space="preserve"> Esa idea coincide con la fracción III del artículo 128 de la Ley de Amparo, que no pregunta si el acto reclamado sirve al interés social en abstracto, sino si la concesión de la suspensión causa </w:t>
      </w:r>
      <w:r>
        <w:rPr>
          <w:rFonts w:ascii="Arial" w:hAnsi="Arial"/>
          <w:b w:val="0"/>
          <w:i/>
          <w:sz w:val="28"/>
        </w:rPr>
        <w:t>«un daño significativo a la colectividad»</w:t>
      </w:r>
      <w:r>
        <w:rPr>
          <w:rFonts w:ascii="Arial" w:hAnsi="Arial"/>
          <w:b w:val="0"/>
          <w:i w:val="0"/>
          <w:sz w:val="28"/>
        </w:rPr>
        <w:t xml:space="preserve"> o </w:t>
      </w:r>
      <w:r>
        <w:rPr>
          <w:rFonts w:ascii="Arial" w:hAnsi="Arial"/>
          <w:b w:val="0"/>
          <w:i/>
          <w:sz w:val="28"/>
        </w:rPr>
        <w:t>«priva a la sociedad de beneficios que ordinariamente le corresponden»</w:t>
      </w:r>
      <w:r>
        <w:rPr>
          <w:rFonts w:ascii="Arial" w:hAnsi="Arial"/>
          <w:b w:val="0"/>
          <w:i w:val="0"/>
          <w:sz w:val="28"/>
        </w:rPr>
        <w:t>.</w:t>
      </w:r>
    </w:p>
    <w:p>
      <w:pPr>
        <w:spacing w:line="360" w:lineRule="auto"/>
        <w:jc w:val="both"/>
      </w:pPr>
      <w:r>
        <w:rPr>
          <w:rFonts w:ascii="Arial" w:hAnsi="Arial"/>
          <w:b w:val="0"/>
          <w:i w:val="0"/>
          <w:sz w:val="28"/>
        </w:rPr>
        <w:t>El peligro en la demora se traduce en la exigencia de que el juzgador no espere al fallo definitivo cuando, al llegar éste, la violación se habría vuelto irreversible; por eso las medidas cautelares se dictan en vía interlocutoria, para impedir que se produzcan situaciones irreparables.</w:t>
      </w:r>
      <w:r>
        <w:rPr>
          <w:rFonts w:ascii="Arial" w:hAnsi="Arial"/>
          <w:vertAlign w:val="superscript"/>
        </w:rPr>
        <w:t>3</w:t>
      </w:r>
      <w:r>
        <w:rPr>
          <w:rFonts w:ascii="Arial" w:hAnsi="Arial"/>
          <w:b w:val="0"/>
          <w:i w:val="0"/>
          <w:sz w:val="28"/>
        </w:rPr>
        <w:t xml:space="preserve"> La Ley de Amparo recoge ese principio en el artículo 139, que ordena mantener las cosas en el estado que guarden cuando haya peligro inminente de ejecución con perjuicios de difícil reparación, y en el artículo 147, que manda fijar la situación de las cosas y tomar las medidas pertinentes para conservar la materia del amparo.</w:t>
      </w:r>
    </w:p>
    <w:p>
      <w:pPr>
        <w:spacing w:line="360" w:lineRule="auto"/>
        <w:jc w:val="both"/>
      </w:pPr>
      <w:r>
        <w:rPr>
          <w:rFonts w:ascii="Arial" w:hAnsi="Arial"/>
          <w:b w:val="0"/>
          <w:i w:val="0"/>
          <w:sz w:val="28"/>
        </w:rPr>
        <w:t xml:space="preserve">El artículo 150 de la Ley de Amparo contiene la regla decisiva para los actos dictados dentro de un procedimiento: la suspensión </w:t>
      </w:r>
      <w:r>
        <w:rPr>
          <w:rFonts w:ascii="Arial" w:hAnsi="Arial"/>
          <w:b w:val="0"/>
          <w:i/>
          <w:sz w:val="28"/>
        </w:rPr>
        <w:t>«se concederá en forma tal que no impida la continuación del procedimiento en el asunto que haya motivado el acto reclamado, hasta dictarse resolución firme en él; a no ser que la continuación de dicho procedimiento deje irreparablemente consumado el daño o perjuicio que pueda ocasionarse a la persona quejosa»</w:t>
      </w:r>
      <w:r>
        <w:rPr>
          <w:rFonts w:ascii="Arial" w:hAnsi="Arial"/>
          <w:b w:val="0"/>
          <w:i w:val="0"/>
          <w:sz w:val="28"/>
        </w:rPr>
        <w:t>. El precepto no obliga a elegir entre paralizar y permitir; obliga a distinguir, dentro del mismo procedimiento, los tramos inocuos de aquellos que consuman el daño.</w:t>
      </w:r>
    </w:p>
    <w:p>
      <w:pPr>
        <w:spacing w:line="360" w:lineRule="auto"/>
        <w:jc w:val="both"/>
      </w:pPr>
      <w:r>
        <w:rPr>
          <w:rFonts w:ascii="Arial" w:hAnsi="Arial"/>
          <w:b w:val="0"/>
          <w:i w:val="0"/>
          <w:sz w:val="28"/>
        </w:rPr>
        <w:t>Esa distinción es, en rigor, un ejercicio de ponderación. La ponderación en sentido estricto consiste en determinar cuál de los intereses en conflicto, de igual jerarquía en abstracto, tiene mayor peso en el caso concreto.</w:t>
      </w:r>
      <w:r>
        <w:rPr>
          <w:rFonts w:ascii="Arial" w:hAnsi="Arial"/>
          <w:vertAlign w:val="superscript"/>
        </w:rPr>
        <w:t>4</w:t>
      </w:r>
      <w:r>
        <w:rPr>
          <w:rFonts w:ascii="Arial" w:hAnsi="Arial"/>
          <w:b w:val="0"/>
          <w:i w:val="0"/>
          <w:sz w:val="28"/>
        </w:rPr>
        <w:t xml:space="preserve"> Y la solución óptima no es la que sacrifica por completo uno de los intereses, sino la que permite la coexistencia de ambos con la mayor realización posible de cada uno, sin afectarse mutua e innecesariamente.</w:t>
      </w:r>
      <w:r>
        <w:rPr>
          <w:rFonts w:ascii="Arial" w:hAnsi="Arial"/>
          <w:vertAlign w:val="superscript"/>
        </w:rPr>
        <w:t>5</w:t>
      </w:r>
    </w:p>
    <w:p>
      <w:pPr>
        <w:spacing w:line="360" w:lineRule="auto"/>
        <w:jc w:val="both"/>
      </w:pPr>
      <w:r>
        <w:rPr>
          <w:rFonts w:ascii="Arial" w:hAnsi="Arial"/>
          <w:b w:val="0"/>
          <w:i w:val="0"/>
          <w:sz w:val="28"/>
        </w:rPr>
        <w:t>Exactamente ese ejercicio realizó el Pleno Regional en Materias Administrativa y Civil de la Región Centro-Norte, con residencia en la Ciudad de México, al resolver la contradicción de criterios 72/2026, en la jurisprudencia PR.A.C.CN. J/53 A (12a.), registro digital 2032508.</w:t>
      </w:r>
    </w:p>
    <w:p>
      <w:pPr>
        <w:spacing w:line="360" w:lineRule="auto"/>
        <w:jc w:val="both"/>
      </w:pPr>
      <w:r>
        <w:rPr>
          <w:rFonts w:ascii="Arial" w:hAnsi="Arial"/>
          <w:b w:val="0"/>
          <w:i w:val="0"/>
          <w:sz w:val="28"/>
        </w:rPr>
        <w:t xml:space="preserve">Esa jurisprudencia lleva por rubro </w:t>
      </w:r>
      <w:r>
        <w:rPr>
          <w:rFonts w:ascii="Arial" w:hAnsi="Arial"/>
          <w:b w:val="0"/>
          <w:i/>
          <w:sz w:val="28"/>
        </w:rPr>
        <w:t>«SUSPENSIÓN PROVISIONAL EN AMPARO INDIRECTO. PROCEDENCIA Y EFECTOS CONTRA LA RESOLUCIÓN QUE ORDENA REABRIR O CONTINUAR LA INVESTIGACIÓN EN UN PROCEDIMIENTO DE RESPONSABILIDAD ADMINISTRATIVA (LEGISLACIÓN DEL ESTADO DE NUEVO LEÓN)»</w:t>
      </w:r>
      <w:r>
        <w:rPr>
          <w:rFonts w:ascii="Arial" w:hAnsi="Arial"/>
          <w:b w:val="0"/>
          <w:i w:val="0"/>
          <w:sz w:val="28"/>
        </w:rPr>
        <w:t>, y fue publicada en el Semanario Judicial de la Federación el viernes 14 de agosto de 2026 y de aplicación obligatoria a partir del lunes 17 de agosto de 2026.</w:t>
      </w:r>
    </w:p>
    <w:p>
      <w:pPr>
        <w:spacing w:line="360" w:lineRule="auto"/>
        <w:jc w:val="both"/>
      </w:pPr>
      <w:r>
        <w:rPr>
          <w:rFonts w:ascii="Arial" w:hAnsi="Arial"/>
          <w:b w:val="0"/>
          <w:i w:val="0"/>
          <w:sz w:val="28"/>
        </w:rPr>
        <w:t xml:space="preserve">Su criterio jurídico es el siguiente: </w:t>
      </w:r>
      <w:r>
        <w:rPr>
          <w:rFonts w:ascii="Arial" w:hAnsi="Arial"/>
          <w:b w:val="0"/>
          <w:i/>
          <w:sz w:val="28"/>
        </w:rPr>
        <w:t>«Procede la suspensión provisional contra la resolución que ordena reabrir la investigación de un procedimiento de responsabilidad administrativa con efectos modulados, con el fin de permitir que la autoridad continúe con la investigación, pero se abstenga de determinar la existencia o inexistencia de la falta administrativa, de calificarla y de formular el informe de presunta responsabilidad administrativa, hasta que se resuelva el fondo del juicio de amparo»</w:t>
      </w:r>
      <w:r>
        <w:rPr>
          <w:rFonts w:ascii="Arial" w:hAnsi="Arial"/>
          <w:b w:val="0"/>
          <w:i w:val="0"/>
          <w:sz w:val="28"/>
        </w:rPr>
        <w:t>.</w:t>
      </w:r>
    </w:p>
    <w:p>
      <w:pPr>
        <w:spacing w:line="360" w:lineRule="auto"/>
        <w:jc w:val="both"/>
      </w:pPr>
      <w:r>
        <w:rPr>
          <w:rFonts w:ascii="Arial" w:hAnsi="Arial"/>
          <w:b w:val="0"/>
          <w:i w:val="0"/>
          <w:sz w:val="28"/>
        </w:rPr>
        <w:t xml:space="preserve">La justificación del Pleno Regional recorre las dos alternativas extremas y las descarta. Paralizar por completo la indagatoria contravendría disposiciones de orden público y seguiría perjuicio al interés social, porque privaría a la colectividad del beneficio de esclarecer posibles actos de corrupción. Negar la medida propiciaría que la autoridad concluyera la indagatoria, calificara la conducta y admitiera el informe de presunta responsabilidad, </w:t>
      </w:r>
      <w:r>
        <w:rPr>
          <w:rFonts w:ascii="Arial" w:hAnsi="Arial"/>
          <w:b w:val="0"/>
          <w:i/>
          <w:sz w:val="28"/>
        </w:rPr>
        <w:t>«lo que constituye un acto de imposible reparación al interrumpir irrevocablemente los plazos de prescripción e iniciar formalmente el procedimiento sancionador»</w:t>
      </w:r>
      <w:r>
        <w:rPr>
          <w:rFonts w:ascii="Arial" w:hAnsi="Arial"/>
          <w:b w:val="0"/>
          <w:i w:val="0"/>
          <w:sz w:val="28"/>
        </w:rPr>
        <w:t>.</w:t>
      </w:r>
    </w:p>
    <w:p>
      <w:pPr>
        <w:spacing w:line="360" w:lineRule="auto"/>
        <w:jc w:val="both"/>
      </w:pPr>
      <w:r>
        <w:rPr>
          <w:rFonts w:ascii="Arial" w:hAnsi="Arial"/>
          <w:b w:val="0"/>
          <w:i w:val="0"/>
          <w:sz w:val="28"/>
        </w:rPr>
        <w:t>De ahí que, conforme al artículo 150 de la Ley de Amparo, la medida deba modularse: la autoridad investigadora ejerce plenamente sus facultades de indagación, pero suspende el dictado de la resolución que califica la falta y la formulación del informe hasta que se resuelva el amparo. Ese efecto, según la propia jurisprudencia, evita la consumación de un daño irreversible, no interrumpe los plazos de prescripción a favor de la persona quejosa, respeta la apariencia del buen derecho, conserva la materia del juicio y salvaguarda el orden público, pues los hechos siguen bajo investigación.</w:t>
      </w:r>
    </w:p>
    <w:p>
      <w:pPr>
        <w:spacing w:line="360" w:lineRule="auto"/>
        <w:jc w:val="both"/>
      </w:pPr>
      <w:r>
        <w:rPr>
          <w:rFonts w:ascii="Arial" w:hAnsi="Arial"/>
          <w:b w:val="0"/>
          <w:i w:val="0"/>
          <w:sz w:val="28"/>
        </w:rPr>
        <w:t>Conviene precisar el alcance de la premisa en dos planos. En el territorial, conforme al artículo 217, párrafo segundo, de la Ley de Amparo, la jurisprudencia de un Pleno Regional obliga a todas las autoridades jurisdiccionales de la Federación y de las entidades federativas de su región; la Región Centro-Norte comprende al Cuarto Circuito, de donde provienen los criterios contendientes, de modo que el criterio vincula a los órganos de amparo de esa región y, fuera de ella, conserva la fuerza persuasiva de un criterio uniformado por contradicción.</w:t>
      </w:r>
    </w:p>
    <w:p>
      <w:pPr>
        <w:spacing w:line="360" w:lineRule="auto"/>
        <w:jc w:val="both"/>
      </w:pPr>
      <w:r>
        <w:rPr>
          <w:rFonts w:ascii="Arial" w:hAnsi="Arial"/>
          <w:b w:val="0"/>
          <w:i w:val="0"/>
          <w:sz w:val="28"/>
        </w:rPr>
        <w:t>En el plano material, la jurisprudencia se refiere a la legislación del Estado de Nuevo León y a las interlocutorias de la Sala Especializada en Materia de Responsabilidades Administrativas de su Tribunal de Justicia Administrativa.</w:t>
      </w:r>
    </w:p>
    <w:p>
      <w:pPr>
        <w:spacing w:line="360" w:lineRule="auto"/>
        <w:jc w:val="both"/>
      </w:pPr>
      <w:r>
        <w:rPr>
          <w:rFonts w:ascii="Arial" w:hAnsi="Arial"/>
          <w:b w:val="0"/>
          <w:i w:val="0"/>
          <w:sz w:val="28"/>
        </w:rPr>
        <w:t xml:space="preserve">Su razón de decidir, sin embargo, descansa en los artículos 128 y 150 de la Ley de Amparo y en dos rasgos que comparte cualquier sistema de responsabilidades: que la calificación de la falta y el informe de presunta responsabilidad interrumpen la prescripción e inauguran el procedimiento sancionador. En asuntos regidos por otra legislación, </w:t>
      </w:r>
      <w:r>
        <w:rPr>
          <w:rFonts w:ascii="Arial" w:hAnsi="Arial"/>
          <w:b/>
          <w:i w:val="0"/>
          <w:sz w:val="28"/>
        </w:rPr>
        <w:t>[PRECEPTO SOBRE PRESCRIPCIÓN DE LA LEY DE RESPONSABILIDADES APLICABLE]</w:t>
      </w:r>
      <w:r>
        <w:rPr>
          <w:rFonts w:ascii="Arial" w:hAnsi="Arial"/>
          <w:b w:val="0"/>
          <w:i w:val="0"/>
          <w:sz w:val="28"/>
        </w:rPr>
        <w:t xml:space="preserve"> produce esos mismos efectos, de modo que la identidad de razón autoriza invocar el criterio.</w:t>
      </w:r>
    </w:p>
    <w:p>
      <w:pPr>
        <w:spacing w:line="360" w:lineRule="auto"/>
        <w:jc w:val="both"/>
      </w:pPr>
      <w:r>
        <w:rPr>
          <w:rFonts w:ascii="Arial" w:hAnsi="Arial"/>
          <w:b/>
          <w:sz w:val="28"/>
        </w:rPr>
        <w:t>IV. Aplicación al caso y refutación anticipada.</w:t>
      </w:r>
    </w:p>
    <w:p>
      <w:pPr>
        <w:spacing w:line="360" w:lineRule="auto"/>
        <w:jc w:val="both"/>
      </w:pPr>
      <w:r>
        <w:rPr>
          <w:rFonts w:ascii="Arial" w:hAnsi="Arial"/>
          <w:b w:val="0"/>
          <w:i w:val="0"/>
          <w:sz w:val="28"/>
        </w:rPr>
        <w:t>Los cuatro requisitos del artículo 128 de la Ley de Amparo se colman. Primero, el acto reclamado existe: la interlocutoria obra en el expediente del recurso de inconformidad y se acompaña copia a esta demanda; su ejecución es inminente, pues la orden de investigar no está sujeta a condición ni a plazo suspensivo. Segundo, el interés suspensional está acreditado, al menos de manera indiciaria, con la propia resolución, que identifica a la persona quejosa como la persona servidora pública cuya conducta habrá de investigarse.</w:t>
      </w:r>
    </w:p>
    <w:p>
      <w:pPr>
        <w:spacing w:line="360" w:lineRule="auto"/>
        <w:jc w:val="both"/>
      </w:pPr>
      <w:r>
        <w:rPr>
          <w:rFonts w:ascii="Arial" w:hAnsi="Arial"/>
          <w:b w:val="0"/>
          <w:i w:val="0"/>
          <w:sz w:val="28"/>
        </w:rPr>
        <w:t>Tercero, la concesión con los efectos que se piden no causa daño significativo a la colectividad ni la priva de beneficio alguno: la investigación continúa, la autoridad puede requerir información, practicar diligencias, recabar documentos y agotar todas sus líneas de indagación; lo único que se posterga es la calificación de la falta y la emisión del informe. La sociedad conserva íntegro el beneficio de que los hechos se esclarezcan; sólo se difiere, hasta la sentencia, la formalización del procedimiento sancionador contra una persona concreta.</w:t>
      </w:r>
    </w:p>
    <w:p>
      <w:pPr>
        <w:spacing w:line="360" w:lineRule="auto"/>
        <w:jc w:val="both"/>
      </w:pPr>
      <w:r>
        <w:rPr>
          <w:rFonts w:ascii="Arial" w:hAnsi="Arial"/>
          <w:b w:val="0"/>
          <w:i w:val="0"/>
          <w:sz w:val="28"/>
        </w:rPr>
        <w:t xml:space="preserve">Cuarto, la apariencia del buen derecho se desprende del análisis preliminar de los conceptos de violación, en los que se sostiene, en síntesis, que </w:t>
      </w:r>
      <w:r>
        <w:rPr>
          <w:rFonts w:ascii="Arial" w:hAnsi="Arial"/>
          <w:b/>
          <w:i w:val="0"/>
          <w:sz w:val="28"/>
        </w:rPr>
        <w:t>[SÍNTESIS DEL VICIO ATRIBUIDO A LA INTERLOCUTORIA]</w:t>
      </w:r>
      <w:r>
        <w:rPr>
          <w:rFonts w:ascii="Arial" w:hAnsi="Arial"/>
          <w:b w:val="0"/>
          <w:i w:val="0"/>
          <w:sz w:val="28"/>
        </w:rPr>
        <w:t>. Piénsese, por ejemplo, en una interlocutoria que revoca el archivo sin hacerse cargo de las razones por las que la autoridad investigadora concluyó que los hechos no constituían falta administrativa. Sin prejuzgar sobre el fondo, un planteamiento de esa clase es serio y verosímil, y basta para satisfacer el estándar de la fracción IV del artículo 128.</w:t>
      </w:r>
    </w:p>
    <w:p>
      <w:pPr>
        <w:spacing w:line="360" w:lineRule="auto"/>
        <w:jc w:val="both"/>
      </w:pPr>
      <w:r>
        <w:rPr>
          <w:rFonts w:ascii="Arial" w:hAnsi="Arial"/>
          <w:b w:val="0"/>
          <w:i w:val="0"/>
          <w:sz w:val="28"/>
        </w:rPr>
        <w:t xml:space="preserve">El peligro en la demora es objetivo y verificable. Los hechos denunciados datan de </w:t>
      </w:r>
      <w:r>
        <w:rPr>
          <w:rFonts w:ascii="Arial" w:hAnsi="Arial"/>
          <w:b/>
          <w:i w:val="0"/>
          <w:sz w:val="28"/>
        </w:rPr>
        <w:t>[FECHA DE LOS HECHOS DENUNCIADOS]</w:t>
      </w:r>
      <w:r>
        <w:rPr>
          <w:rFonts w:ascii="Arial" w:hAnsi="Arial"/>
          <w:b w:val="0"/>
          <w:i w:val="0"/>
          <w:sz w:val="28"/>
        </w:rPr>
        <w:t xml:space="preserve">, de modo que el plazo de prescripción de la facultad sancionadora, previsto en </w:t>
      </w:r>
      <w:r>
        <w:rPr>
          <w:rFonts w:ascii="Arial" w:hAnsi="Arial"/>
          <w:b/>
          <w:i w:val="0"/>
          <w:sz w:val="28"/>
        </w:rPr>
        <w:t>[PRECEPTO SOBRE PRESCRIPCIÓN DE LA LEY DE RESPONSABILIDADES APLICABLE]</w:t>
      </w:r>
      <w:r>
        <w:rPr>
          <w:rFonts w:ascii="Arial" w:hAnsi="Arial"/>
          <w:b w:val="0"/>
          <w:i w:val="0"/>
          <w:sz w:val="28"/>
        </w:rPr>
        <w:t>, corre actualmente a favor de la persona quejosa. Si la autoridad califica la falta y emite el informe antes de que se dicte sentencia, ese plazo se interrumpe de manera irrevocable, y una eventual concesión del amparo ya no podría devolver a la persona quejosa el tiempo transcurrido ni la situación jurídica que hoy tiene.</w:t>
      </w:r>
    </w:p>
    <w:p>
      <w:pPr>
        <w:spacing w:line="360" w:lineRule="auto"/>
        <w:jc w:val="both"/>
      </w:pPr>
      <w:r>
        <w:rPr>
          <w:rFonts w:ascii="Arial" w:hAnsi="Arial"/>
          <w:b w:val="0"/>
          <w:i w:val="0"/>
          <w:sz w:val="28"/>
        </w:rPr>
        <w:t>Se anticipa que la autoridad responsable, al rendir su informe previo, o la parte tercera interesada sostendrán que la suspensión es improcedente porque impide instrumentar un procedimiento orientado a investigar y sancionar faltas administrativas, materia de orden público. Ese razonamiento, que fue precisamente el de la postura vencida en la contradicción de criterios, incurre en una falsa dicotomía: presenta sólo dos opciones, paralizar la investigación o negar toda tutela, cuando existe una tercera vía, que es la que la jurisprudencia adoptó.</w:t>
      </w:r>
    </w:p>
    <w:p>
      <w:pPr>
        <w:spacing w:line="360" w:lineRule="auto"/>
        <w:jc w:val="both"/>
      </w:pPr>
      <w:r>
        <w:rPr>
          <w:rFonts w:ascii="Arial" w:hAnsi="Arial"/>
          <w:b w:val="0"/>
          <w:i w:val="0"/>
          <w:sz w:val="28"/>
        </w:rPr>
        <w:t>La doctrina de la argumentación explica que el dilema es falso cuando sus términos no son exhaustivos, es decir, cuando la enumeración de alternativas está incompleta; el dilema pretende funcionar como una tenaza, pero basta que la contraparte muestre una tercera vía para que el argumento se derrumbe.</w:t>
      </w:r>
      <w:r>
        <w:rPr>
          <w:rFonts w:ascii="Arial" w:hAnsi="Arial"/>
          <w:vertAlign w:val="superscript"/>
        </w:rPr>
        <w:t>6</w:t>
      </w:r>
      <w:r>
        <w:rPr>
          <w:rFonts w:ascii="Arial" w:hAnsi="Arial"/>
          <w:b w:val="0"/>
          <w:i w:val="0"/>
          <w:sz w:val="28"/>
        </w:rPr>
        <w:t xml:space="preserve"> Aquí la tercera vía no es una construcción ingeniosa de la persona quejosa: está en el texto del artículo 150 de la Ley de Amparo y en una jurisprudencia de observancia obligatoria en la región.</w:t>
      </w:r>
    </w:p>
    <w:p>
      <w:pPr>
        <w:spacing w:line="360" w:lineRule="auto"/>
        <w:jc w:val="both"/>
      </w:pPr>
      <w:r>
        <w:rPr>
          <w:rFonts w:ascii="Arial" w:hAnsi="Arial"/>
          <w:b w:val="0"/>
          <w:i w:val="0"/>
          <w:sz w:val="28"/>
        </w:rPr>
        <w:t>El argumento del orden público es, además, una conclusión irrelevante respecto de lo que en realidad se pide. Se argumenta contra una suspensión total que nadie ha solicitado, y de la improcedencia de esa suspensión imaginaria se pretende derivar la improcedencia de la modulada. Pero la fracción III del artículo 128 exige ponderar los efectos concretos de la suspensión que se concede, no los de la más amplia que pudiera concebirse; y los efectos que aquí se piden dejan intacta la facultad de investigar.</w:t>
      </w:r>
    </w:p>
    <w:p>
      <w:pPr>
        <w:spacing w:line="360" w:lineRule="auto"/>
        <w:jc w:val="both"/>
      </w:pPr>
      <w:r>
        <w:rPr>
          <w:rFonts w:ascii="Arial" w:hAnsi="Arial"/>
          <w:b w:val="0"/>
          <w:i w:val="0"/>
          <w:sz w:val="28"/>
        </w:rPr>
        <w:t>Se anticipa también la objeción de que la interlocutoria es un acto intraprocesal cuya ejecución no produce perjuicio irreparable, pues la persona quejosa podrá defenderse en el procedimiento sancionador. La respuesta la da el propio artículo 150: la continuación del procedimiento se permite salvo cuando deje irreparablemente consumado el daño; y la interrupción de la prescripción y el inicio formal del procedimiento son, en palabras de la jurisprudencia, un acto de imposible reparación. La defensa posterior no repara lo que ya se consumó; llega tarde por definición.</w:t>
      </w:r>
    </w:p>
    <w:p>
      <w:pPr>
        <w:spacing w:line="360" w:lineRule="auto"/>
        <w:jc w:val="both"/>
      </w:pPr>
      <w:r>
        <w:rPr>
          <w:rFonts w:ascii="Arial" w:hAnsi="Arial"/>
          <w:b w:val="0"/>
          <w:i w:val="0"/>
          <w:sz w:val="28"/>
        </w:rPr>
        <w:t>Por último, si este Juzgado de Distrito estimara que la naturaleza del acto impide realizar el análisis ponderado en esta fase, se solicita que al menos ordene mantener las cosas en el estado que guardan, conforme al artículo 139 de la Ley de Amparo, hasta que se resuelva sobre la suspensión definitiva, pues el riesgo de que la autoridad califique la falta en el lapso que media entre la admisión y la audiencia incidental es real y sus consecuencias, como se ha visto, no admiten reparación posterior.</w:t>
      </w:r>
    </w:p>
    <w:p>
      <w:pPr>
        <w:spacing w:line="360" w:lineRule="auto"/>
        <w:jc w:val="both"/>
      </w:pPr>
      <w:r>
        <w:rPr>
          <w:rFonts w:ascii="Arial" w:hAnsi="Arial"/>
          <w:b/>
          <w:sz w:val="28"/>
        </w:rPr>
        <w:t>V. Conclusión y petición.</w:t>
      </w:r>
    </w:p>
    <w:p>
      <w:pPr>
        <w:spacing w:line="360" w:lineRule="auto"/>
        <w:jc w:val="both"/>
      </w:pPr>
      <w:r>
        <w:rPr>
          <w:rFonts w:ascii="Arial" w:hAnsi="Arial"/>
          <w:b w:val="0"/>
          <w:i w:val="0"/>
          <w:sz w:val="28"/>
        </w:rPr>
        <w:t>En suma: el acto reclamado existe y es de ejecución inminente; la persona quejosa tiene interés suspensional; la concesión con efectos modulados no daña a la colectividad ni la priva de beneficio alguno, porque la investigación continúa; la apariencia del buen derecho se desprende de los conceptos de violación; y el peligro en la demora consiste en la interrupción irrevocable de la prescripción y en la formalización del procedimiento sancionador, daño que el artículo 150 de la Ley de Amparo ordena evitar.</w:t>
      </w:r>
    </w:p>
    <w:p>
      <w:pPr>
        <w:spacing w:line="360" w:lineRule="auto"/>
        <w:jc w:val="both"/>
      </w:pPr>
      <w:r>
        <w:rPr>
          <w:rFonts w:ascii="Arial" w:hAnsi="Arial"/>
          <w:b w:val="0"/>
          <w:i w:val="0"/>
          <w:sz w:val="28"/>
        </w:rPr>
        <w:t xml:space="preserve">Por lo expuesto, con fundamento en los artículos 107, fracción X, de la Constitución y 125, 128, 138, 139, 147 y 150 de la Ley de Amparo, y en la jurisprudencia PR.A.C.CN. J/53 A (12a.) del Pleno Regional en Materias Administrativa y Civil de la Región Centro-Norte, se solicita al </w:t>
      </w:r>
      <w:r>
        <w:rPr>
          <w:rFonts w:ascii="Arial" w:hAnsi="Arial"/>
          <w:b/>
          <w:i w:val="0"/>
          <w:sz w:val="28"/>
        </w:rPr>
        <w:t>[JUZGADO DE DISTRITO]</w:t>
      </w:r>
      <w:r>
        <w:rPr>
          <w:rFonts w:ascii="Arial" w:hAnsi="Arial"/>
          <w:b w:val="0"/>
          <w:i w:val="0"/>
          <w:sz w:val="28"/>
        </w:rPr>
        <w:t xml:space="preserve"> conceder la suspensión provisional y, en su oportunidad, la definitiva.</w:t>
      </w:r>
    </w:p>
    <w:p>
      <w:pPr>
        <w:spacing w:line="360" w:lineRule="auto"/>
        <w:jc w:val="both"/>
      </w:pPr>
      <w:r>
        <w:rPr>
          <w:rFonts w:ascii="Arial" w:hAnsi="Arial"/>
          <w:b w:val="0"/>
          <w:i w:val="0"/>
          <w:sz w:val="28"/>
        </w:rPr>
        <w:t xml:space="preserve">El efecto de la medida será que </w:t>
      </w:r>
      <w:r>
        <w:rPr>
          <w:rFonts w:ascii="Arial" w:hAnsi="Arial"/>
          <w:b/>
          <w:i w:val="0"/>
          <w:sz w:val="28"/>
        </w:rPr>
        <w:t>[AUTORIDAD INVESTIGADORA]</w:t>
      </w:r>
      <w:r>
        <w:rPr>
          <w:rFonts w:ascii="Arial" w:hAnsi="Arial"/>
          <w:b w:val="0"/>
          <w:i w:val="0"/>
          <w:sz w:val="28"/>
        </w:rPr>
        <w:t>, señalada como autoridad ejecutora, continúe la investigación ordenada en la interlocutoria reclamada, pero se abstenga de determinar la existencia o inexistencia de la falta administrativa, de calificarla y de formular el informe de presunta responsabilidad administrativa, hasta que se resuelva el fondo del presente juicio.</w:t>
      </w:r>
    </w:p>
    <w:p>
      <w:pPr>
        <w:spacing w:line="360" w:lineRule="auto"/>
        <w:jc w:val="both"/>
      </w:pPr>
      <w:r>
        <w:rPr>
          <w:rFonts w:ascii="Arial" w:hAnsi="Arial"/>
          <w:b w:val="0"/>
          <w:i w:val="0"/>
          <w:sz w:val="28"/>
        </w:rPr>
        <w:t>Asimismo se solicita que en el auto que conceda la medida se precisen con claridad esos efectos, conforme al artículo 138, fracción I, de la Ley de Amparo, para su estricto cumplimiento por las autoridades responsables, y que se señale fecha para la audiencia incidental y se requiera el informe previo en los términos de las fracciones II y III del mismo precepto.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244.</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HERNÁNDEZ VALLE, op. cit.</w:t>
      </w:r>
      <w:r>
        <w:rPr>
          <w:rFonts w:ascii="Arial" w:hAnsi="Arial"/>
          <w:i w:val="0"/>
          <w:sz w:val="20"/>
        </w:rPr>
        <w:t>, p. 245.</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HERNÁNDEZ VALLE, op. cit.</w:t>
      </w:r>
      <w:r>
        <w:rPr>
          <w:rFonts w:ascii="Arial" w:hAnsi="Arial"/>
          <w:i w:val="0"/>
          <w:sz w:val="20"/>
        </w:rPr>
        <w:t>, p. 282.</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49.</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SÁNCHEZ GIL, op. cit.</w:t>
      </w:r>
      <w:r>
        <w:rPr>
          <w:rFonts w:ascii="Arial" w:hAnsi="Arial"/>
          <w:i w:val="0"/>
          <w:sz w:val="20"/>
        </w:rPr>
        <w:t>, p. 33.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33.</w:t>
      </w:r>
    </w:p>
    <w:p/>
    <w:p>
      <w:r>
        <w:rPr>
          <w:rFonts w:ascii="Arial" w:hAnsi="Arial"/>
          <w:b/>
          <w:sz w:val="22"/>
        </w:rPr>
        <w:t>BIBLIOGRAFÍA</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