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AMPARO INDIRECTO CONTRA LEYES FISCALES LOCALES. LEGALIDAD TRIBUTARIA POR ELEMENTO ESENCIAL INDETERMINADO</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adapta el concepto de violación a tu demanda de amparo indirecto. Antes de llenarlo, revisa el texto íntegro de la ley reclamada y del código fiscal de tu entidad: confirma que el elemento que consideras faltante no aparece en ningún otro precepto legal y localiza el artículo del código fiscal local que reserva la aplicación estricta a las normas sobre sujeto, objeto, base, tasa o tarifa.</w:t>
      </w:r>
    </w:p>
    <w:p>
      <w:pPr>
        <w:spacing w:line="360" w:lineRule="auto"/>
        <w:jc w:val="both"/>
      </w:pPr>
      <w:r>
        <w:rPr>
          <w:rFonts w:ascii="Arial" w:hAnsi="Arial"/>
          <w:b w:val="0"/>
          <w:i w:val="0"/>
          <w:sz w:val="24"/>
        </w:rPr>
        <w:t>Después llena los campos editables, conserva la transcripción de la jurisprudencia tal como viene y ajusta la sección IV a los argumentos que efectivamente rindan las autoridades responsables en su informe justificado. Verifica en la Ley de Amparo el plazo aplicable según se trate de una norma autoaplicativa o de su primer acto de aplicación.</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CONCEPTO]</w:t>
      </w:r>
      <w:r>
        <w:rPr>
          <w:rFonts w:ascii="Arial" w:hAnsi="Arial"/>
          <w:b w:val="0"/>
          <w:i w:val="0"/>
          <w:sz w:val="24"/>
        </w:rPr>
        <w:t>: el ordinal que le corresponda en tu demanda (PRIMERO, SEGUNDO…).</w:t>
      </w:r>
    </w:p>
    <w:p>
      <w:pPr>
        <w:spacing w:line="360" w:lineRule="auto"/>
        <w:jc w:val="both"/>
      </w:pPr>
      <w:r>
        <w:rPr>
          <w:rFonts w:ascii="Arial" w:hAnsi="Arial"/>
          <w:b/>
          <w:i w:val="0"/>
          <w:sz w:val="24"/>
        </w:rPr>
        <w:t>[ARTÍCULO Y LEY RECLAMADOS]</w:t>
      </w:r>
      <w:r>
        <w:rPr>
          <w:rFonts w:ascii="Arial" w:hAnsi="Arial"/>
          <w:b w:val="0"/>
          <w:i w:val="0"/>
          <w:sz w:val="24"/>
        </w:rPr>
        <w:t>: número del artículo y nombre completo de la ley local reclamada, por ejemplo la ley de ingresos o la ley de hacienda del ejercicio.</w:t>
      </w:r>
    </w:p>
    <w:p>
      <w:pPr>
        <w:spacing w:line="360" w:lineRule="auto"/>
        <w:jc w:val="both"/>
      </w:pPr>
      <w:r>
        <w:rPr>
          <w:rFonts w:ascii="Arial" w:hAnsi="Arial"/>
          <w:b/>
          <w:i w:val="0"/>
          <w:sz w:val="24"/>
        </w:rPr>
        <w:t>[ENTIDAD FEDERATIVA]</w:t>
      </w:r>
      <w:r>
        <w:rPr>
          <w:rFonts w:ascii="Arial" w:hAnsi="Arial"/>
          <w:b w:val="0"/>
          <w:i w:val="0"/>
          <w:sz w:val="24"/>
        </w:rPr>
        <w:t>: el estado cuyo congreso expidió la ley.</w:t>
      </w:r>
    </w:p>
    <w:p>
      <w:pPr>
        <w:spacing w:line="360" w:lineRule="auto"/>
        <w:jc w:val="both"/>
      </w:pPr>
      <w:r>
        <w:rPr>
          <w:rFonts w:ascii="Arial" w:hAnsi="Arial"/>
          <w:b/>
          <w:i w:val="0"/>
          <w:sz w:val="24"/>
        </w:rPr>
        <w:t>[ELEMENTO ESENCIAL INDETERMINADO]</w:t>
      </w:r>
      <w:r>
        <w:rPr>
          <w:rFonts w:ascii="Arial" w:hAnsi="Arial"/>
          <w:b w:val="0"/>
          <w:i w:val="0"/>
          <w:sz w:val="24"/>
        </w:rPr>
        <w:t>: el elemento que falta o que se remite a la autoridad: el sujeto, el objeto, la base, la tasa o la tarifa. Descríbelo con precisión.</w:t>
      </w:r>
    </w:p>
    <w:p>
      <w:pPr>
        <w:spacing w:line="360" w:lineRule="auto"/>
        <w:jc w:val="both"/>
      </w:pPr>
      <w:r>
        <w:rPr>
          <w:rFonts w:ascii="Arial" w:hAnsi="Arial"/>
          <w:b/>
          <w:i w:val="0"/>
          <w:sz w:val="24"/>
        </w:rPr>
        <w:t>[NOMBRE DE LA PERSONA QUEJOSA]</w:t>
      </w:r>
      <w:r>
        <w:rPr>
          <w:rFonts w:ascii="Arial" w:hAnsi="Arial"/>
          <w:b w:val="0"/>
          <w:i w:val="0"/>
          <w:sz w:val="24"/>
        </w:rPr>
        <w:t>: nombre o denominación de quien promueve.</w:t>
      </w:r>
    </w:p>
    <w:p>
      <w:pPr>
        <w:spacing w:line="360" w:lineRule="auto"/>
        <w:jc w:val="both"/>
      </w:pPr>
      <w:r>
        <w:rPr>
          <w:rFonts w:ascii="Arial" w:hAnsi="Arial"/>
          <w:b/>
          <w:i w:val="0"/>
          <w:sz w:val="24"/>
        </w:rPr>
        <w:t>[DENOMINACIÓN DE LA CONTRIBUCIÓN]</w:t>
      </w:r>
      <w:r>
        <w:rPr>
          <w:rFonts w:ascii="Arial" w:hAnsi="Arial"/>
          <w:b w:val="0"/>
          <w:i w:val="0"/>
          <w:sz w:val="24"/>
        </w:rPr>
        <w:t>: nombre exacto del impuesto, derecho o contribución, tal como lo llama la ley.</w:t>
      </w:r>
    </w:p>
    <w:p>
      <w:pPr>
        <w:spacing w:line="360" w:lineRule="auto"/>
        <w:jc w:val="both"/>
      </w:pPr>
      <w:r>
        <w:rPr>
          <w:rFonts w:ascii="Arial" w:hAnsi="Arial"/>
          <w:b/>
          <w:i w:val="0"/>
          <w:sz w:val="24"/>
        </w:rPr>
        <w:t>[FECHA DE PUBLICACIÓN DE LA LEY RECLAMADA]</w:t>
      </w:r>
      <w:r>
        <w:rPr>
          <w:rFonts w:ascii="Arial" w:hAnsi="Arial"/>
          <w:b w:val="0"/>
          <w:i w:val="0"/>
          <w:sz w:val="24"/>
        </w:rPr>
        <w:t>: fecha del periódico oficial en que se publicó.</w:t>
      </w:r>
    </w:p>
    <w:p>
      <w:pPr>
        <w:spacing w:line="360" w:lineRule="auto"/>
        <w:jc w:val="both"/>
      </w:pPr>
      <w:r>
        <w:rPr>
          <w:rFonts w:ascii="Arial" w:hAnsi="Arial"/>
          <w:b/>
          <w:i w:val="0"/>
          <w:sz w:val="24"/>
        </w:rPr>
        <w:t>[TEXTO DEL PRECEPTO RECLAMADO]</w:t>
      </w:r>
      <w:r>
        <w:rPr>
          <w:rFonts w:ascii="Arial" w:hAnsi="Arial"/>
          <w:b w:val="0"/>
          <w:i w:val="0"/>
          <w:sz w:val="24"/>
        </w:rPr>
        <w:t>: transcripción literal de la porción normativa reclamada.</w:t>
      </w:r>
    </w:p>
    <w:p>
      <w:pPr>
        <w:spacing w:line="360" w:lineRule="auto"/>
        <w:jc w:val="both"/>
      </w:pPr>
      <w:r>
        <w:rPr>
          <w:rFonts w:ascii="Arial" w:hAnsi="Arial"/>
          <w:b/>
          <w:i w:val="0"/>
          <w:sz w:val="24"/>
        </w:rPr>
        <w:t>[ACTO DE APLICACIÓN O FECHA DE ENTRADA EN VIGOR]</w:t>
      </w:r>
      <w:r>
        <w:rPr>
          <w:rFonts w:ascii="Arial" w:hAnsi="Arial"/>
          <w:b w:val="0"/>
          <w:i w:val="0"/>
          <w:sz w:val="24"/>
        </w:rPr>
        <w:t>: si la norma es autoaplicativa, la fecha en que entró en vigor; si es heteroaplicativa, el primer acto de aplicación con su número y fecha.</w:t>
      </w:r>
    </w:p>
    <w:p>
      <w:pPr>
        <w:spacing w:line="360" w:lineRule="auto"/>
        <w:jc w:val="both"/>
      </w:pPr>
      <w:r>
        <w:rPr>
          <w:rFonts w:ascii="Arial" w:hAnsi="Arial"/>
          <w:b/>
          <w:i w:val="0"/>
          <w:sz w:val="24"/>
        </w:rPr>
        <w:t>[AUTORIDAD RESPONSABLE EJECUTORA]</w:t>
      </w:r>
      <w:r>
        <w:rPr>
          <w:rFonts w:ascii="Arial" w:hAnsi="Arial"/>
          <w:b w:val="0"/>
          <w:i w:val="0"/>
          <w:sz w:val="24"/>
        </w:rPr>
        <w:t>: la autoridad que cobra o determina la contribución, con su denominación completa.</w:t>
      </w:r>
    </w:p>
    <w:p>
      <w:pPr>
        <w:spacing w:line="360" w:lineRule="auto"/>
        <w:jc w:val="both"/>
      </w:pPr>
      <w:r>
        <w:rPr>
          <w:rFonts w:ascii="Arial" w:hAnsi="Arial"/>
          <w:b/>
          <w:i w:val="0"/>
          <w:sz w:val="24"/>
        </w:rPr>
        <w:t>[ARTÍCULO DEL CÓDIGO FISCAL LOCAL SOBRE APLICACIÓN ESTRICTA]</w:t>
      </w:r>
      <w:r>
        <w:rPr>
          <w:rFonts w:ascii="Arial" w:hAnsi="Arial"/>
          <w:b w:val="0"/>
          <w:i w:val="0"/>
          <w:sz w:val="24"/>
        </w:rPr>
        <w:t>: el artículo del código fiscal de tu entidad equivalente al artículo 5o. del Código Fiscal de la Federación.</w:t>
      </w:r>
    </w:p>
    <w:p>
      <w:pPr>
        <w:spacing w:line="360" w:lineRule="auto"/>
        <w:jc w:val="both"/>
      </w:pPr>
      <w:r>
        <w:rPr>
          <w:rFonts w:ascii="Arial" w:hAnsi="Arial"/>
          <w:b/>
          <w:i w:val="0"/>
          <w:sz w:val="24"/>
        </w:rPr>
        <w:t>[PRECEPTOS DEL SISTEMA NORMATIVO LOCAL REVISADOS]</w:t>
      </w:r>
      <w:r>
        <w:rPr>
          <w:rFonts w:ascii="Arial" w:hAnsi="Arial"/>
          <w:b w:val="0"/>
          <w:i w:val="0"/>
          <w:sz w:val="24"/>
        </w:rPr>
        <w:t>: la lista de artículos de la ley reclamada y del código fiscal que revisaste para confirmar que ninguno contiene el elemento faltante.</w:t>
      </w:r>
    </w:p>
    <w:p/>
    <w:p>
      <w:pPr>
        <w:spacing w:line="360" w:lineRule="auto"/>
        <w:jc w:val="both"/>
      </w:pPr>
      <w:r>
        <w:rPr>
          <w:rFonts w:ascii="Arial" w:hAnsi="Arial"/>
          <w:b/>
          <w:sz w:val="28"/>
        </w:rPr>
        <w:t>[NÚMERO ORDINAL DEL CONCEPTO] CONCEPTO DE VIOLACIÓN. Violación al principio de legalidad tributaria. El artículo [ARTÍCULO Y LEY RECLAMADOS] del Estado de [ENTIDAD FEDERATIVA] deja indeterminado un elemento esencial de la contribución, [ELEMENTO ESENCIAL INDETERMINADO], sin que exista en el sistema normativo una norma de cierre que permita fijarlo, en contravención del artículo 31, fracción IV, de la Constitución Política de los Estados Unidos Mexicanos.</w:t>
      </w:r>
    </w:p>
    <w:p>
      <w:pPr>
        <w:spacing w:line="360" w:lineRule="auto"/>
        <w:jc w:val="both"/>
      </w:pPr>
      <w:r>
        <w:rPr>
          <w:rFonts w:ascii="Arial" w:hAnsi="Arial"/>
          <w:b/>
          <w:sz w:val="28"/>
        </w:rPr>
        <w:t>I. Síntesis del concepto.</w:t>
      </w:r>
    </w:p>
    <w:p>
      <w:pPr>
        <w:spacing w:line="360" w:lineRule="auto"/>
        <w:jc w:val="both"/>
      </w:pPr>
      <w:r>
        <w:rPr>
          <w:rFonts w:ascii="Arial" w:hAnsi="Arial"/>
          <w:b w:val="0"/>
          <w:i w:val="0"/>
          <w:sz w:val="28"/>
        </w:rPr>
        <w:t xml:space="preserve">En este apartado se demostrará que el artículo </w:t>
      </w:r>
      <w:r>
        <w:rPr>
          <w:rFonts w:ascii="Arial" w:hAnsi="Arial"/>
          <w:b/>
          <w:i w:val="0"/>
          <w:sz w:val="28"/>
        </w:rPr>
        <w:t>[ARTÍCULO Y LEY RECLAMADOS]</w:t>
      </w:r>
      <w:r>
        <w:rPr>
          <w:rFonts w:ascii="Arial" w:hAnsi="Arial"/>
          <w:b w:val="0"/>
          <w:i w:val="0"/>
          <w:sz w:val="28"/>
        </w:rPr>
        <w:t xml:space="preserve">, reclamado por </w:t>
      </w:r>
      <w:r>
        <w:rPr>
          <w:rFonts w:ascii="Arial" w:hAnsi="Arial"/>
          <w:b/>
          <w:i w:val="0"/>
          <w:sz w:val="28"/>
        </w:rPr>
        <w:t>[NOMBRE DE LA PERSONA QUEJOSA]</w:t>
      </w:r>
      <w:r>
        <w:rPr>
          <w:rFonts w:ascii="Arial" w:hAnsi="Arial"/>
          <w:b w:val="0"/>
          <w:i w:val="0"/>
          <w:sz w:val="28"/>
        </w:rPr>
        <w:t xml:space="preserve">, viola el principio de legalidad tributaria porque no fija, ni permite fijar a partir de otra disposición legal, </w:t>
      </w:r>
      <w:r>
        <w:rPr>
          <w:rFonts w:ascii="Arial" w:hAnsi="Arial"/>
          <w:b/>
          <w:i w:val="0"/>
          <w:sz w:val="28"/>
        </w:rPr>
        <w:t>[ELEMENTO ESENCIAL INDETERMINADO]</w:t>
      </w:r>
      <w:r>
        <w:rPr>
          <w:rFonts w:ascii="Arial" w:hAnsi="Arial"/>
          <w:b w:val="0"/>
          <w:i w:val="0"/>
          <w:sz w:val="28"/>
        </w:rPr>
        <w:t xml:space="preserve"> de la contribución denominada </w:t>
      </w:r>
      <w:r>
        <w:rPr>
          <w:rFonts w:ascii="Arial" w:hAnsi="Arial"/>
          <w:b/>
          <w:i w:val="0"/>
          <w:sz w:val="28"/>
        </w:rPr>
        <w:t>[DENOMINACIÓN DE LA CONTRIBUCIÓN]</w:t>
      </w:r>
      <w:r>
        <w:rPr>
          <w:rFonts w:ascii="Arial" w:hAnsi="Arial"/>
          <w:b w:val="0"/>
          <w:i w:val="0"/>
          <w:sz w:val="28"/>
        </w:rPr>
        <w:t>. Ese vacío no lo llena la ley, sino la autoridad administrativa, que termina por decidir en cada caso cuánto, sobre qué o a quién se cobra.</w:t>
      </w:r>
    </w:p>
    <w:p>
      <w:pPr>
        <w:spacing w:line="360" w:lineRule="auto"/>
        <w:jc w:val="both"/>
      </w:pPr>
      <w:r>
        <w:rPr>
          <w:rFonts w:ascii="Arial" w:hAnsi="Arial"/>
          <w:b w:val="0"/>
          <w:i w:val="0"/>
          <w:sz w:val="28"/>
        </w:rPr>
        <w:t>La demostración descansa en una distinción que la jurisprudencia más reciente sobre la materia reconoce de manera expresa. Una cosa es que un dato accesorio del tributo, como la época de pago, se encuentre repartido en varios preceptos y pueda precisarse con los métodos ordinarios de interpretación; otra muy distinta es que un elemento que define la carga contributiva, es decir, el sujeto, el objeto, la base, la tasa o la tarifa, no aparezca en ley alguna y deba integrarse por analogía o por decisión de la autoridad exactora.</w:t>
      </w:r>
    </w:p>
    <w:p>
      <w:pPr>
        <w:spacing w:line="360" w:lineRule="auto"/>
        <w:jc w:val="both"/>
      </w:pPr>
      <w:r>
        <w:rPr>
          <w:rFonts w:ascii="Arial" w:hAnsi="Arial"/>
          <w:b w:val="0"/>
          <w:i w:val="0"/>
          <w:sz w:val="28"/>
        </w:rPr>
        <w:t>Como se verá, el caso de la persona quejosa se ubica en la segunda hipótesis. Por ello no queda gobernado por la jurisprudencia (IV Región)1o. J/1 A (12a.), que se cita con honestidad para delimitar su alcance y no para ocultarla, y procede conceder la protección constitucional contra la norma reclamada y su acto de aplicación.</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El acto reclamado es el artículo </w:t>
      </w:r>
      <w:r>
        <w:rPr>
          <w:rFonts w:ascii="Arial" w:hAnsi="Arial"/>
          <w:b/>
          <w:i w:val="0"/>
          <w:sz w:val="28"/>
        </w:rPr>
        <w:t>[ARTÍCULO Y LEY RECLAMADOS]</w:t>
      </w:r>
      <w:r>
        <w:rPr>
          <w:rFonts w:ascii="Arial" w:hAnsi="Arial"/>
          <w:b w:val="0"/>
          <w:i w:val="0"/>
          <w:sz w:val="28"/>
        </w:rPr>
        <w:t xml:space="preserve">, publicado en el periódico oficial del Estado de </w:t>
      </w:r>
      <w:r>
        <w:rPr>
          <w:rFonts w:ascii="Arial" w:hAnsi="Arial"/>
          <w:b/>
          <w:i w:val="0"/>
          <w:sz w:val="28"/>
        </w:rPr>
        <w:t>[ENTIDAD FEDERATIVA]</w:t>
      </w:r>
      <w:r>
        <w:rPr>
          <w:rFonts w:ascii="Arial" w:hAnsi="Arial"/>
          <w:b w:val="0"/>
          <w:i w:val="0"/>
          <w:sz w:val="28"/>
        </w:rPr>
        <w:t xml:space="preserve"> el </w:t>
      </w:r>
      <w:r>
        <w:rPr>
          <w:rFonts w:ascii="Arial" w:hAnsi="Arial"/>
          <w:b/>
          <w:i w:val="0"/>
          <w:sz w:val="28"/>
        </w:rPr>
        <w:t>[FECHA DE PUBLICACIÓN DE LA LEY RECLAMADA]</w:t>
      </w:r>
      <w:r>
        <w:rPr>
          <w:rFonts w:ascii="Arial" w:hAnsi="Arial"/>
          <w:b w:val="0"/>
          <w:i w:val="0"/>
          <w:sz w:val="28"/>
        </w:rPr>
        <w:t xml:space="preserve">, en la porción normativa que dispone </w:t>
      </w:r>
      <w:r>
        <w:rPr>
          <w:rFonts w:ascii="Arial" w:hAnsi="Arial"/>
          <w:b/>
          <w:i w:val="0"/>
          <w:sz w:val="28"/>
        </w:rPr>
        <w:t>[TEXTO DEL PRECEPTO RECLAMADO]</w:t>
      </w:r>
      <w:r>
        <w:rPr>
          <w:rFonts w:ascii="Arial" w:hAnsi="Arial"/>
          <w:b w:val="0"/>
          <w:i w:val="0"/>
          <w:sz w:val="28"/>
        </w:rPr>
        <w:t xml:space="preserve">, así como </w:t>
      </w:r>
      <w:r>
        <w:rPr>
          <w:rFonts w:ascii="Arial" w:hAnsi="Arial"/>
          <w:b/>
          <w:i w:val="0"/>
          <w:sz w:val="28"/>
        </w:rPr>
        <w:t>[ACTO DE APLICACIÓN O FECHA DE ENTRADA EN VIGOR]</w:t>
      </w:r>
      <w:r>
        <w:rPr>
          <w:rFonts w:ascii="Arial" w:hAnsi="Arial"/>
          <w:b w:val="0"/>
          <w:i w:val="0"/>
          <w:sz w:val="28"/>
        </w:rPr>
        <w:t xml:space="preserve">, atribuido a la </w:t>
      </w:r>
      <w:r>
        <w:rPr>
          <w:rFonts w:ascii="Arial" w:hAnsi="Arial"/>
          <w:b/>
          <w:i w:val="0"/>
          <w:sz w:val="28"/>
        </w:rPr>
        <w:t>[AUTORIDAD RESPONSABLE EJECUTORA]</w:t>
      </w:r>
      <w:r>
        <w:rPr>
          <w:rFonts w:ascii="Arial" w:hAnsi="Arial"/>
          <w:b w:val="0"/>
          <w:i w:val="0"/>
          <w:sz w:val="28"/>
        </w:rPr>
        <w:t>. El juicio es procedente conforme al artículo 107, fracción I, de la Ley de Amparo, que admite el amparo indirecto contra normas generales que por su sola entrada en vigor o con motivo del primer acto de su aplicación causen perjuicio a la persona quejosa.</w:t>
      </w:r>
    </w:p>
    <w:p>
      <w:pPr>
        <w:spacing w:line="360" w:lineRule="auto"/>
        <w:jc w:val="both"/>
      </w:pPr>
      <w:r>
        <w:rPr>
          <w:rFonts w:ascii="Arial" w:hAnsi="Arial"/>
          <w:b w:val="0"/>
          <w:i w:val="0"/>
          <w:sz w:val="28"/>
        </w:rPr>
        <w:t xml:space="preserve">La norma constitucional violada es el artículo 31, fracción IV, de la Constitución Política de los Estados Unidos Mexicanos, conforme al cual la obligación de contribuir a los gastos públicos se cumple </w:t>
      </w:r>
      <w:r>
        <w:rPr>
          <w:rFonts w:ascii="Arial" w:hAnsi="Arial"/>
          <w:b w:val="0"/>
          <w:i/>
          <w:sz w:val="28"/>
        </w:rPr>
        <w:t>«de la manera proporcional y equitativa que dispongan las leyes»</w:t>
      </w:r>
      <w:r>
        <w:rPr>
          <w:rFonts w:ascii="Arial" w:hAnsi="Arial"/>
          <w:b w:val="0"/>
          <w:i w:val="0"/>
          <w:sz w:val="28"/>
        </w:rPr>
        <w:t>. De esa remisión a las leyes deriva el principio de legalidad tributaria: los elementos que definen la carga deben constar en un acto formal y materialmente legislativo, no en la voluntad de quien cobra.</w:t>
      </w:r>
    </w:p>
    <w:p>
      <w:pPr>
        <w:spacing w:line="360" w:lineRule="auto"/>
        <w:jc w:val="both"/>
      </w:pPr>
      <w:r>
        <w:rPr>
          <w:rFonts w:ascii="Arial" w:hAnsi="Arial"/>
          <w:b w:val="0"/>
          <w:i w:val="0"/>
          <w:sz w:val="28"/>
        </w:rPr>
        <w:t xml:space="preserve">El perjuicio es concreto e inmediato. La persona quejosa queda sujeta a una contribución cuyo </w:t>
      </w:r>
      <w:r>
        <w:rPr>
          <w:rFonts w:ascii="Arial" w:hAnsi="Arial"/>
          <w:b/>
          <w:i w:val="0"/>
          <w:sz w:val="28"/>
        </w:rPr>
        <w:t>[ELEMENTO ESENCIAL INDETERMINADO]</w:t>
      </w:r>
      <w:r>
        <w:rPr>
          <w:rFonts w:ascii="Arial" w:hAnsi="Arial"/>
          <w:b w:val="0"/>
          <w:i w:val="0"/>
          <w:sz w:val="28"/>
        </w:rPr>
        <w:t xml:space="preserve"> no puede conocer leyendo la ley, sino únicamente cuando la </w:t>
      </w:r>
      <w:r>
        <w:rPr>
          <w:rFonts w:ascii="Arial" w:hAnsi="Arial"/>
          <w:b/>
          <w:i w:val="0"/>
          <w:sz w:val="28"/>
        </w:rPr>
        <w:t>[AUTORIDAD RESPONSABLE EJECUTORA]</w:t>
      </w:r>
      <w:r>
        <w:rPr>
          <w:rFonts w:ascii="Arial" w:hAnsi="Arial"/>
          <w:b w:val="0"/>
          <w:i w:val="0"/>
          <w:sz w:val="28"/>
        </w:rPr>
        <w:t xml:space="preserve"> lo decide, lo que le impide prever el importe de su obligación, planear su cumplimiento y controlar la legalidad del cobro. De prosperar este concepto, el beneficio es el mayor posible en el juicio: la desincorporación de la norma de su esfera jurídica, con la consecuente invalidez de todo acto que en ella se funde.</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Conviene partir de la razón de ser del principio. La doctrina explica que la reserva de ley tributaria significa que los tributos sólo pueden establecerse mediante ley, porque las personas gobernadas han depositado en el Poder Legislativo un voto de confianza para que sean sus representantes quienes discutan y sancionen, en leyes formales y materiales, los elementos esenciales de las contribuciones.</w:t>
      </w:r>
      <w:r>
        <w:rPr>
          <w:rFonts w:ascii="Arial" w:hAnsi="Arial"/>
          <w:vertAlign w:val="superscript"/>
        </w:rPr>
        <w:t>1</w:t>
      </w:r>
      <w:r>
        <w:rPr>
          <w:rFonts w:ascii="Arial" w:hAnsi="Arial"/>
          <w:b w:val="0"/>
          <w:i w:val="0"/>
          <w:sz w:val="28"/>
        </w:rPr>
        <w:t xml:space="preserve"> El principio no es, pues, una regla de técnica legislativa, sino una garantía de autoimposición: nadie paga sino lo que sus representantes decidieron.</w:t>
      </w:r>
    </w:p>
    <w:p>
      <w:pPr>
        <w:spacing w:line="360" w:lineRule="auto"/>
        <w:jc w:val="both"/>
      </w:pPr>
      <w:r>
        <w:rPr>
          <w:rFonts w:ascii="Arial" w:hAnsi="Arial"/>
          <w:b w:val="0"/>
          <w:i w:val="0"/>
          <w:sz w:val="28"/>
        </w:rPr>
        <w:t xml:space="preserve">Ese contenido tiene un catálogo preciso. El propio legislador federal lo reconoce en el artículo 5o. del Código Fiscal de la Federación, y los códigos fiscales locales lo replican en preceptos como el </w:t>
      </w:r>
      <w:r>
        <w:rPr>
          <w:rFonts w:ascii="Arial" w:hAnsi="Arial"/>
          <w:b/>
          <w:i w:val="0"/>
          <w:sz w:val="28"/>
        </w:rPr>
        <w:t>[ARTÍCULO DEL CÓDIGO FISCAL LOCAL SOBRE APLICACIÓN ESTRICTA]</w:t>
      </w:r>
      <w:r>
        <w:rPr>
          <w:rFonts w:ascii="Arial" w:hAnsi="Arial"/>
          <w:b w:val="0"/>
          <w:i w:val="0"/>
          <w:sz w:val="28"/>
        </w:rPr>
        <w:t>: las disposiciones que establecen cargas a los particulares son de aplicación estricta, y se consideran tales las que se refieren al sujeto, al objeto, a la base, a la tasa o a la tarifa.</w:t>
      </w:r>
    </w:p>
    <w:p>
      <w:pPr>
        <w:spacing w:line="360" w:lineRule="auto"/>
        <w:jc w:val="both"/>
      </w:pPr>
      <w:r>
        <w:rPr>
          <w:rFonts w:ascii="Arial" w:hAnsi="Arial"/>
          <w:b w:val="0"/>
          <w:i w:val="0"/>
          <w:sz w:val="28"/>
        </w:rPr>
        <w:t>La doctrina de la argumentación jurídica, al exponer las restricciones que la materia fiscal impone a la analogía, subraya la consecuencia: cuando una disposición incide en la tasa o en el hecho imponible, no es válido acudir a un mecanismo de integración legal como la analogía.</w:t>
      </w:r>
      <w:r>
        <w:rPr>
          <w:rFonts w:ascii="Arial" w:hAnsi="Arial"/>
          <w:vertAlign w:val="superscript"/>
        </w:rPr>
        <w:t>2</w:t>
      </w:r>
    </w:p>
    <w:p>
      <w:pPr>
        <w:spacing w:line="360" w:lineRule="auto"/>
        <w:jc w:val="both"/>
      </w:pPr>
      <w:r>
        <w:rPr>
          <w:rFonts w:ascii="Arial" w:hAnsi="Arial"/>
          <w:b w:val="0"/>
          <w:i w:val="0"/>
          <w:sz w:val="28"/>
        </w:rPr>
        <w:t>La aplicación estricta no es un capricho formalista, sino la protección de la certeza. La seguridad jurídica implica la posibilidad de conocer lo que el derecho exige en cada momento y lo que previsiblemente exigirá, de modo que la persona sepa a qué atenerse frente a la autoridad.</w:t>
      </w:r>
      <w:r>
        <w:rPr>
          <w:rFonts w:ascii="Arial" w:hAnsi="Arial"/>
          <w:vertAlign w:val="superscript"/>
        </w:rPr>
        <w:t>3</w:t>
      </w:r>
      <w:r>
        <w:rPr>
          <w:rFonts w:ascii="Arial" w:hAnsi="Arial"/>
          <w:b w:val="0"/>
          <w:i w:val="0"/>
          <w:sz w:val="28"/>
        </w:rPr>
        <w:t xml:space="preserve"> Trasladada al tributo, esa certeza tiene dos caras: la contribuyente debe poder calcular su obligación con la sola lectura de la ley, y la autoridad debe carecer de margen para modularla según su conveniencia.</w:t>
      </w:r>
    </w:p>
    <w:p>
      <w:pPr>
        <w:spacing w:line="360" w:lineRule="auto"/>
        <w:jc w:val="both"/>
      </w:pPr>
      <w:r>
        <w:rPr>
          <w:rFonts w:ascii="Arial" w:hAnsi="Arial"/>
          <w:b w:val="0"/>
          <w:i w:val="0"/>
          <w:sz w:val="28"/>
        </w:rPr>
        <w:t>Ahora bien, el principio no exige que todos los elementos se concentren en un solo artículo. Es válido que el legislador remita a otra ley para integrar un elemento, porque al hacerlo adopta como propio lo que esa otra ley ya dispone, y la certeza se conserva. Lo que el principio prohíbe es distinto: que el elemento no conste en ninguna ley y deba construirse por analogía, por mayoría de razón o por decisión administrativa. La doctrina lo enuncia con claridad al advertir que la analogía es imposible cuando el legislador ha pretendido regular restrictivamente una materia.</w:t>
      </w:r>
      <w:r>
        <w:rPr>
          <w:rFonts w:ascii="Arial" w:hAnsi="Arial"/>
          <w:vertAlign w:val="superscript"/>
        </w:rPr>
        <w:t>4</w:t>
      </w:r>
    </w:p>
    <w:p>
      <w:pPr>
        <w:spacing w:line="360" w:lineRule="auto"/>
        <w:jc w:val="both"/>
      </w:pPr>
      <w:r>
        <w:rPr>
          <w:rFonts w:ascii="Arial" w:hAnsi="Arial"/>
          <w:b w:val="0"/>
          <w:i w:val="0"/>
          <w:sz w:val="28"/>
        </w:rPr>
        <w:t>Aquí se encuentra la línea divisoria: la determinabilidad a partir del sistema normativo supone que exista, en alguna parte del sistema, una disposición legal que contenga el dato; cuando esa disposición no existe, no hay nada que interpretar, sólo un vacío que alguien llenará. Si quien lo llena es la autoridad exactora, el elemento esencial dejó de estar en la ley y el principio de legalidad tributaria queda vulnerado.</w:t>
      </w:r>
    </w:p>
    <w:p>
      <w:pPr>
        <w:spacing w:line="360" w:lineRule="auto"/>
        <w:jc w:val="both"/>
      </w:pPr>
      <w:r>
        <w:rPr>
          <w:rFonts w:ascii="Arial" w:hAnsi="Arial"/>
          <w:b w:val="0"/>
          <w:i w:val="0"/>
          <w:sz w:val="28"/>
        </w:rPr>
        <w:t>Esta distinción no es una construcción de la parte quejosa. La recoge la jurisprudencia (IV Región)1o. J/1 A (12a.), de los Tribunales Colegiados de Circuito, sustentada por el Primer Tribunal Colegiado de Circuito del Centro Auxiliar de la Cuarta Región, con residencia en Xalapa, Veracruz de Ignacio de la Llave, publicada en el Semanario Judicial de la Federación el viernes 14 de agosto de 2026, obligatoria a partir del lunes 17 de agosto de 2026 con el alcance territorial del artículo 217 de la Ley de Amparo, registro digital 2032491, cuyo rubro es el siguiente:</w:t>
      </w:r>
    </w:p>
    <w:p>
      <w:pPr>
        <w:spacing w:line="360" w:lineRule="auto"/>
        <w:jc w:val="both"/>
      </w:pPr>
      <w:r>
        <w:rPr>
          <w:rFonts w:ascii="Arial" w:hAnsi="Arial"/>
          <w:b w:val="0"/>
          <w:i/>
          <w:sz w:val="28"/>
        </w:rPr>
        <w:t>«DERECHOS POR REVALIDACIÓN ANUAL DE PERMISOS EN EL RAMO DE ALCOHOLES. LOS ARTÍCULOS 20 DE LA LEY DE INGRESOS PARA EL EJERCICIO FISCAL 2025, 21, FRACCIÓN IX, Y 27 DE LA LEY QUE REGULA LOS ESTABLECIMIENTOS DEDICADOS A LA PRODUCCIÓN, ALMACENAMIENTO, DISTRIBUCIÓN Y ENAJENACIÓN DE BEBIDAS ALCOHÓLICAS, AMBAS DEL ESTADO DE NAYARIT, NO VIOLAN EL PRINCIPIO DE LEGALIDAD TRIBUTARIA.»</w:t>
      </w:r>
    </w:p>
    <w:p>
      <w:pPr>
        <w:spacing w:line="360" w:lineRule="auto"/>
        <w:jc w:val="both"/>
      </w:pPr>
      <w:r>
        <w:rPr>
          <w:rFonts w:ascii="Arial" w:hAnsi="Arial"/>
          <w:b w:val="0"/>
          <w:i w:val="0"/>
          <w:sz w:val="28"/>
        </w:rPr>
        <w:t xml:space="preserve">Se transcribe la parte de su justificación que interesa: </w:t>
      </w:r>
      <w:r>
        <w:rPr>
          <w:rFonts w:ascii="Arial" w:hAnsi="Arial"/>
          <w:b w:val="0"/>
          <w:i/>
          <w:sz w:val="28"/>
        </w:rPr>
        <w:t>«Conforme al artículo 15 del Código Fiscal del Estado de Nayarit, la aplicación estricta de las disposiciones fiscales se reserva para las que establecen cargas a los particulares, entendidas como las relativas al sujeto, objeto, base, tasa o tarifa, mientras que las demás disposiciones pueden interpretarse mediante cualquier método de interpretación jurídica. Por tanto, la época de pago, al constituir una modalidad de cumplimiento vinculada al elemento temporal de la obligación, es susceptible de ser precisada mediante interpretación sistemática»</w:t>
      </w:r>
      <w:r>
        <w:rPr>
          <w:rFonts w:ascii="Arial" w:hAnsi="Arial"/>
          <w:b w:val="0"/>
          <w:i w:val="0"/>
          <w:sz w:val="28"/>
        </w:rPr>
        <w:t>.</w:t>
      </w:r>
    </w:p>
    <w:p>
      <w:pPr>
        <w:spacing w:line="360" w:lineRule="auto"/>
        <w:jc w:val="both"/>
      </w:pPr>
      <w:r>
        <w:rPr>
          <w:rFonts w:ascii="Arial" w:hAnsi="Arial"/>
          <w:b w:val="0"/>
          <w:i w:val="0"/>
          <w:sz w:val="28"/>
        </w:rPr>
        <w:t xml:space="preserve">Y añade el tribunal que el principio de legalidad tributaria </w:t>
      </w:r>
      <w:r>
        <w:rPr>
          <w:rFonts w:ascii="Arial" w:hAnsi="Arial"/>
          <w:b w:val="0"/>
          <w:i/>
          <w:sz w:val="28"/>
        </w:rPr>
        <w:t>«no exige que los elementos de la contribución se encuentren concentrados en un solo precepto, sino que sean determinables con certeza razonable a partir del sistema normativo aplicable, por lo que su previsión en diversas disposiciones no implica invalidez constitucional»</w:t>
      </w:r>
      <w:r>
        <w:rPr>
          <w:rFonts w:ascii="Arial" w:hAnsi="Arial"/>
          <w:b w:val="0"/>
          <w:i w:val="0"/>
          <w:sz w:val="28"/>
        </w:rPr>
        <w:t>.</w:t>
      </w:r>
    </w:p>
    <w:p>
      <w:pPr>
        <w:spacing w:line="360" w:lineRule="auto"/>
        <w:jc w:val="both"/>
      </w:pPr>
      <w:r>
        <w:rPr>
          <w:rFonts w:ascii="Arial" w:hAnsi="Arial"/>
          <w:b w:val="0"/>
          <w:i w:val="0"/>
          <w:sz w:val="28"/>
        </w:rPr>
        <w:t>Debe decirse con honestidad lo que esa jurisprudencia resolvió: que la coexistencia de dos preceptos de Nayarit que fijaban lapsos distintos para pagar el derecho de revalidación de permisos de alcoholes, el primer bimestre del año y los meses de enero a marzo, no genera incertidumbre, porque ambos lapsos constan en ley, se complementan y amplían el margen para cumplir; y que la época de pago no es un elemento que defina la carga, sino una modalidad de su cumplimiento que el artículo 15 del Código Fiscal local permite precisar con cualquier método interpretativo.</w:t>
      </w:r>
    </w:p>
    <w:p>
      <w:pPr>
        <w:spacing w:line="360" w:lineRule="auto"/>
        <w:jc w:val="both"/>
      </w:pPr>
      <w:r>
        <w:rPr>
          <w:rFonts w:ascii="Arial" w:hAnsi="Arial"/>
          <w:b w:val="0"/>
          <w:i w:val="0"/>
          <w:sz w:val="28"/>
        </w:rPr>
        <w:t>De esa decisión se desprenden, a contrario sensu, las dos condiciones que su ratio presupone. Primera, que el elemento discutido no sea de los que establecen cargas, pues respecto del sujeto, objeto, base, tasa o tarifa la propia jurisprudencia reconoce que rige la aplicación estricta. Segunda, que el dato exista en alguna disposición del sistema normativo, de modo que la interpretación sistemática tenga materia sobre la cual operar. Cuando falta cualquiera de las dos, el criterio no es aplicable, y quien lo invoque estará extendiendo su conclusión a un supuesto que el tribunal no examinó.</w:t>
      </w:r>
    </w:p>
    <w:p>
      <w:pPr>
        <w:spacing w:line="360" w:lineRule="auto"/>
        <w:jc w:val="both"/>
      </w:pPr>
      <w:r>
        <w:rPr>
          <w:rFonts w:ascii="Arial" w:hAnsi="Arial"/>
          <w:b/>
          <w:sz w:val="28"/>
        </w:rPr>
        <w:t>IV. Aplicación al caso concreto y refutación del argumento previsible.</w:t>
      </w:r>
    </w:p>
    <w:p>
      <w:pPr>
        <w:spacing w:line="360" w:lineRule="auto"/>
        <w:jc w:val="both"/>
      </w:pPr>
      <w:r>
        <w:rPr>
          <w:rFonts w:ascii="Arial" w:hAnsi="Arial"/>
          <w:b w:val="0"/>
          <w:i w:val="0"/>
          <w:sz w:val="28"/>
        </w:rPr>
        <w:t xml:space="preserve">Los hechos encuadran en el supuesto opuesto al resuelto por la jurisprudencia. El artículo </w:t>
      </w:r>
      <w:r>
        <w:rPr>
          <w:rFonts w:ascii="Arial" w:hAnsi="Arial"/>
          <w:b/>
          <w:i w:val="0"/>
          <w:sz w:val="28"/>
        </w:rPr>
        <w:t>[ARTÍCULO Y LEY RECLAMADOS]</w:t>
      </w:r>
      <w:r>
        <w:rPr>
          <w:rFonts w:ascii="Arial" w:hAnsi="Arial"/>
          <w:b w:val="0"/>
          <w:i w:val="0"/>
          <w:sz w:val="28"/>
        </w:rPr>
        <w:t xml:space="preserve"> dispone </w:t>
      </w:r>
      <w:r>
        <w:rPr>
          <w:rFonts w:ascii="Arial" w:hAnsi="Arial"/>
          <w:b/>
          <w:i w:val="0"/>
          <w:sz w:val="28"/>
        </w:rPr>
        <w:t>[TEXTO DEL PRECEPTO RECLAMADO]</w:t>
      </w:r>
      <w:r>
        <w:rPr>
          <w:rFonts w:ascii="Arial" w:hAnsi="Arial"/>
          <w:b w:val="0"/>
          <w:i w:val="0"/>
          <w:sz w:val="28"/>
        </w:rPr>
        <w:t xml:space="preserve">; sin embargo, </w:t>
      </w:r>
      <w:r>
        <w:rPr>
          <w:rFonts w:ascii="Arial" w:hAnsi="Arial"/>
          <w:b/>
          <w:i w:val="0"/>
          <w:sz w:val="28"/>
        </w:rPr>
        <w:t>[ELEMENTO ESENCIAL INDETERMINADO]</w:t>
      </w:r>
      <w:r>
        <w:rPr>
          <w:rFonts w:ascii="Arial" w:hAnsi="Arial"/>
          <w:b w:val="0"/>
          <w:i w:val="0"/>
          <w:sz w:val="28"/>
        </w:rPr>
        <w:t xml:space="preserve"> no consta en ese precepto ni en ninguno de los que integran el sistema normativo local revisado, a saber, </w:t>
      </w:r>
      <w:r>
        <w:rPr>
          <w:rFonts w:ascii="Arial" w:hAnsi="Arial"/>
          <w:b/>
          <w:i w:val="0"/>
          <w:sz w:val="28"/>
        </w:rPr>
        <w:t>[PRECEPTOS DEL SISTEMA NORMATIVO LOCAL REVISADOS]</w:t>
      </w:r>
      <w:r>
        <w:rPr>
          <w:rFonts w:ascii="Arial" w:hAnsi="Arial"/>
          <w:b w:val="0"/>
          <w:i w:val="0"/>
          <w:sz w:val="28"/>
        </w:rPr>
        <w:t>. No se trata de dos disposiciones legales que fijen el mismo dato con redacción diversa, sino de la ausencia de toda disposición legal que lo fije.</w:t>
      </w:r>
    </w:p>
    <w:p>
      <w:pPr>
        <w:spacing w:line="360" w:lineRule="auto"/>
        <w:jc w:val="both"/>
      </w:pPr>
      <w:r>
        <w:rPr>
          <w:rFonts w:ascii="Arial" w:hAnsi="Arial"/>
          <w:b w:val="0"/>
          <w:i w:val="0"/>
          <w:sz w:val="28"/>
        </w:rPr>
        <w:t xml:space="preserve">En consecuencia, el dato faltante sólo puede obtenerse de la </w:t>
      </w:r>
      <w:r>
        <w:rPr>
          <w:rFonts w:ascii="Arial" w:hAnsi="Arial"/>
          <w:b/>
          <w:i w:val="0"/>
          <w:sz w:val="28"/>
        </w:rPr>
        <w:t>[AUTORIDAD RESPONSABLE EJECUTORA]</w:t>
      </w:r>
      <w:r>
        <w:rPr>
          <w:rFonts w:ascii="Arial" w:hAnsi="Arial"/>
          <w:b w:val="0"/>
          <w:i w:val="0"/>
          <w:sz w:val="28"/>
        </w:rPr>
        <w:t>, sea porque la norma remite a lo que ella determine, sea porque el silencio legal la obliga a suplirlo en cada acto de cobro. La subsunción es directa: el elemento indeterminado es de los que establecen cargas; las normas que los prevén son de aplicación estricta y no admiten integración; luego, su fijación por la autoridad equivale a que la carga la defina quien la cobra, y no la ley, que es exactamente lo que el artículo 31, fracción IV, constitucional prohíbe.</w:t>
      </w:r>
    </w:p>
    <w:p>
      <w:pPr>
        <w:spacing w:line="360" w:lineRule="auto"/>
        <w:jc w:val="both"/>
      </w:pPr>
      <w:r>
        <w:rPr>
          <w:rFonts w:ascii="Arial" w:hAnsi="Arial"/>
          <w:b w:val="0"/>
          <w:i w:val="0"/>
          <w:sz w:val="28"/>
        </w:rPr>
        <w:t>Es previsible que las autoridades responsables, al rendir su informe justificado, invoquen la jurisprudencia transcrita para sostener que basta con que el elemento sea determinable a partir del sistema normativo y que la persona quejosa pretende una concentración de elementos que la Constitución no exige. Ese razonamiento incurre en falsa analogía, el vicio que la doctrina de la argumentación describe como todo argumento analógico que no se apoya en una semejanza relevante u olvida diferencias que impiden la conclusión.</w:t>
      </w:r>
      <w:r>
        <w:rPr>
          <w:rFonts w:ascii="Arial" w:hAnsi="Arial"/>
          <w:vertAlign w:val="superscript"/>
        </w:rPr>
        <w:t>5</w:t>
      </w:r>
    </w:p>
    <w:p>
      <w:pPr>
        <w:spacing w:line="360" w:lineRule="auto"/>
        <w:jc w:val="both"/>
      </w:pPr>
      <w:r>
        <w:rPr>
          <w:rFonts w:ascii="Arial" w:hAnsi="Arial"/>
          <w:b w:val="0"/>
          <w:i w:val="0"/>
          <w:sz w:val="28"/>
        </w:rPr>
        <w:t xml:space="preserve">Las diferencias que impiden la conclusión son precisamente las que la jurisprudencia tomó como premisas. En Nayarit se discutía la época de pago, que no establece carga; aquí se discute </w:t>
      </w:r>
      <w:r>
        <w:rPr>
          <w:rFonts w:ascii="Arial" w:hAnsi="Arial"/>
          <w:b/>
          <w:i w:val="0"/>
          <w:sz w:val="28"/>
        </w:rPr>
        <w:t>[ELEMENTO ESENCIAL INDETERMINADO]</w:t>
      </w:r>
      <w:r>
        <w:rPr>
          <w:rFonts w:ascii="Arial" w:hAnsi="Arial"/>
          <w:b w:val="0"/>
          <w:i w:val="0"/>
          <w:sz w:val="28"/>
        </w:rPr>
        <w:t>, que sí la establece. Allá existían dos preceptos legales con el dato, y el problema era elegir entre ellos o conciliarlos; aquí no existe ninguno, y el problema es que alguien distinto del legislador lo inventa.</w:t>
      </w:r>
    </w:p>
    <w:p>
      <w:pPr>
        <w:spacing w:line="360" w:lineRule="auto"/>
        <w:jc w:val="both"/>
      </w:pPr>
      <w:r>
        <w:rPr>
          <w:rFonts w:ascii="Arial" w:hAnsi="Arial"/>
          <w:b w:val="0"/>
          <w:i w:val="0"/>
          <w:sz w:val="28"/>
        </w:rPr>
        <w:t xml:space="preserve">La tercera diferencia es la norma de cierre. Allá había una, el artículo 15 del Código Fiscal local, que autorizaba cualquier método interpretativo para la modalidad de cumplimiento; aquí la norma de cierre equivalente, el </w:t>
      </w:r>
      <w:r>
        <w:rPr>
          <w:rFonts w:ascii="Arial" w:hAnsi="Arial"/>
          <w:b/>
          <w:i w:val="0"/>
          <w:sz w:val="28"/>
        </w:rPr>
        <w:t>[ARTÍCULO DEL CÓDIGO FISCAL LOCAL SOBRE APLICACIÓN ESTRICTA]</w:t>
      </w:r>
      <w:r>
        <w:rPr>
          <w:rFonts w:ascii="Arial" w:hAnsi="Arial"/>
          <w:b w:val="0"/>
          <w:i w:val="0"/>
          <w:sz w:val="28"/>
        </w:rPr>
        <w:t>, ordena lo contrario respecto de las cargas.</w:t>
      </w:r>
    </w:p>
    <w:p>
      <w:pPr>
        <w:spacing w:line="360" w:lineRule="auto"/>
        <w:jc w:val="both"/>
      </w:pPr>
      <w:r>
        <w:rPr>
          <w:rFonts w:ascii="Arial" w:hAnsi="Arial"/>
          <w:b w:val="0"/>
          <w:i w:val="0"/>
          <w:sz w:val="28"/>
        </w:rPr>
        <w:t>El mismo argumento incurre, además, en la falacia del secundum quid, consistente en aplicar rígidamente una regla como si no existieran excepciones, olvidando que en el caso particular concurre una circunstancia que la hace inaplicable.</w:t>
      </w:r>
      <w:r>
        <w:rPr>
          <w:rFonts w:ascii="Arial" w:hAnsi="Arial"/>
          <w:vertAlign w:val="superscript"/>
        </w:rPr>
        <w:t>6</w:t>
      </w:r>
      <w:r>
        <w:rPr>
          <w:rFonts w:ascii="Arial" w:hAnsi="Arial"/>
          <w:b w:val="0"/>
          <w:i w:val="0"/>
          <w:sz w:val="28"/>
        </w:rPr>
        <w:t xml:space="preserve"> La regla según la cual la dispersión normativa no viola la legalidad tributaria nació condicionada a que el elemento sea integrable con los métodos ordinarios; extenderla a los elementos que el propio sistema declara de aplicación estricta es aplicar la regla contra su condición de validez.</w:t>
      </w:r>
    </w:p>
    <w:p>
      <w:pPr>
        <w:spacing w:line="360" w:lineRule="auto"/>
        <w:jc w:val="both"/>
      </w:pPr>
      <w:r>
        <w:rPr>
          <w:rFonts w:ascii="Arial" w:hAnsi="Arial"/>
          <w:b w:val="0"/>
          <w:i w:val="0"/>
          <w:sz w:val="28"/>
        </w:rPr>
        <w:t xml:space="preserve">Hay todavía un tercer defecto: leída completa, la jurisprudencia opera en contra de quien la invoca. Su justificación afirma que la aplicación estricta se reserva a las disposiciones relativas al sujeto, objeto, base, tasa o tarifa, y que la época de pago pudo precisarse por interpretación sistemática porque </w:t>
      </w:r>
      <w:r>
        <w:rPr>
          <w:rFonts w:ascii="Arial" w:hAnsi="Arial"/>
          <w:b w:val="0"/>
          <w:i/>
          <w:sz w:val="28"/>
        </w:rPr>
        <w:t>«no compromete la determinación de la carga contributiva»</w:t>
      </w:r>
      <w:r>
        <w:rPr>
          <w:rFonts w:ascii="Arial" w:hAnsi="Arial"/>
          <w:b w:val="0"/>
          <w:i w:val="0"/>
          <w:sz w:val="28"/>
        </w:rPr>
        <w:t>. Si el elemento aquí controvertido compromete esa determinación, el propio criterio invocado excluye la interpretación libre y confirma que el vacío no puede colmarse por vía interpretativa.</w:t>
      </w:r>
    </w:p>
    <w:p>
      <w:pPr>
        <w:spacing w:line="360" w:lineRule="auto"/>
        <w:jc w:val="both"/>
      </w:pPr>
      <w:r>
        <w:rPr>
          <w:rFonts w:ascii="Arial" w:hAnsi="Arial"/>
          <w:b w:val="0"/>
          <w:i w:val="0"/>
          <w:sz w:val="28"/>
        </w:rPr>
        <w:t>La consecuencia sistémica de aceptar la tesis contraria revela el error. Si la determinabilidad razonable bastara también para los elementos esenciales, cualquier ley podría limitarse a nombrar la contribución y dejar que la autoridad dedujera la base o la tarifa del contexto, con lo que la reserva de ley se vaciaría y el voto de confianza depositado en el legislador se trasladaría, sin autorización constitucional, a la administración. Ninguna interpretación que produzca ese resultado puede reputarse conforme con el artículo 31, fracción IV, constitucional.</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 xml:space="preserve">En suma: el principio de legalidad tributaria exige que los elementos que definen la carga consten en ley y sean de aplicación estricta; el artículo reclamado omite </w:t>
      </w:r>
      <w:r>
        <w:rPr>
          <w:rFonts w:ascii="Arial" w:hAnsi="Arial"/>
          <w:b/>
          <w:i w:val="0"/>
          <w:sz w:val="28"/>
        </w:rPr>
        <w:t>[ELEMENTO ESENCIAL INDETERMINADO]</w:t>
      </w:r>
      <w:r>
        <w:rPr>
          <w:rFonts w:ascii="Arial" w:hAnsi="Arial"/>
          <w:b w:val="0"/>
          <w:i w:val="0"/>
          <w:sz w:val="28"/>
        </w:rPr>
        <w:t xml:space="preserve"> y ningún otro precepto del sistema normativo local lo contiene; la jurisprudencia (IV Región)1o. J/1 A (12a.) resolvió un problema distinto, el de la época de pago prevista en dos preceptos legales complementarios, y sus propias premisas excluyen su aplicación a los elementos esenciales. La norma reclamada deja, por tanto, en manos de la autoridad exactora lo que la Constitución reserva al legislador.</w:t>
      </w:r>
    </w:p>
    <w:p>
      <w:pPr>
        <w:spacing w:line="360" w:lineRule="auto"/>
        <w:jc w:val="both"/>
      </w:pPr>
      <w:r>
        <w:rPr>
          <w:rFonts w:ascii="Arial" w:hAnsi="Arial"/>
          <w:b w:val="0"/>
          <w:i w:val="0"/>
          <w:sz w:val="28"/>
        </w:rPr>
        <w:t xml:space="preserve">Por lo expuesto, procede declarar fundado el presente concepto de violación y conceder el amparo y protección de la Justicia Federal a </w:t>
      </w:r>
      <w:r>
        <w:rPr>
          <w:rFonts w:ascii="Arial" w:hAnsi="Arial"/>
          <w:b/>
          <w:i w:val="0"/>
          <w:sz w:val="28"/>
        </w:rPr>
        <w:t>[NOMBRE DE LA PERSONA QUEJOSA]</w:t>
      </w:r>
      <w:r>
        <w:rPr>
          <w:rFonts w:ascii="Arial" w:hAnsi="Arial"/>
          <w:b w:val="0"/>
          <w:i w:val="0"/>
          <w:sz w:val="28"/>
        </w:rPr>
        <w:t xml:space="preserve"> contra el artículo </w:t>
      </w:r>
      <w:r>
        <w:rPr>
          <w:rFonts w:ascii="Arial" w:hAnsi="Arial"/>
          <w:b/>
          <w:i w:val="0"/>
          <w:sz w:val="28"/>
        </w:rPr>
        <w:t>[ARTÍCULO Y LEY RECLAMADOS]</w:t>
      </w:r>
      <w:r>
        <w:rPr>
          <w:rFonts w:ascii="Arial" w:hAnsi="Arial"/>
          <w:b w:val="0"/>
          <w:i w:val="0"/>
          <w:sz w:val="28"/>
        </w:rPr>
        <w:t xml:space="preserve">, para el efecto de que se desincorpore de su esfera jurídica y no le sea aplicado en el presente ni en el futuro, así como contra </w:t>
      </w:r>
      <w:r>
        <w:rPr>
          <w:rFonts w:ascii="Arial" w:hAnsi="Arial"/>
          <w:b/>
          <w:i w:val="0"/>
          <w:sz w:val="28"/>
        </w:rPr>
        <w:t>[ACTO DE APLICACIÓN O FECHA DE ENTRADA EN VIGOR]</w:t>
      </w:r>
      <w:r>
        <w:rPr>
          <w:rFonts w:ascii="Arial" w:hAnsi="Arial"/>
          <w:b w:val="0"/>
          <w:i w:val="0"/>
          <w:sz w:val="28"/>
        </w:rPr>
        <w:t>, que debe quedar insubsistente. Se solicita el estudio preferente de este concepto, porque su acogimiento otorga a la persona quejosa el mayor beneficio jurídico posible y hace innecesario el examen de los restantes.</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969.</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 p. 529.</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GÓMORA JUÁREZ, Sandra, </w:t>
      </w:r>
      <w:r>
        <w:rPr>
          <w:rFonts w:ascii="Arial" w:hAnsi="Arial"/>
          <w:i/>
          <w:sz w:val="20"/>
        </w:rPr>
        <w:t>Un análisis conceptual del precedente judicial</w:t>
      </w:r>
      <w:r>
        <w:rPr>
          <w:rFonts w:ascii="Arial" w:hAnsi="Arial"/>
          <w:i w:val="0"/>
          <w:sz w:val="20"/>
        </w:rPr>
        <w:t>, Universidad Nacional Autónoma de México, Instituto de Investigaciones Jurídicas, México, 2018, p. 205.</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 p. 523.</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9.</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GARCÍA DAMBORENEA, op. cit.</w:t>
      </w:r>
      <w:r>
        <w:rPr>
          <w:rFonts w:ascii="Arial" w:hAnsi="Arial"/>
          <w:i w:val="0"/>
          <w:sz w:val="20"/>
        </w:rPr>
        <w:t>, p. 84.</w:t>
      </w:r>
    </w:p>
    <w:p/>
    <w:p>
      <w:r>
        <w:rPr>
          <w:rFonts w:ascii="Arial" w:hAnsi="Arial"/>
          <w:b/>
          <w:sz w:val="22"/>
        </w:rPr>
        <w:t>BIBLIOGRAFÍA</w:t>
      </w:r>
    </w:p>
    <w:p>
      <w:pPr>
        <w:spacing w:after="60"/>
        <w:ind w:left="360" w:hanging="360"/>
        <w:jc w:val="both"/>
      </w:pP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GÓMORA JUÁREZ, Sandra, </w:t>
      </w:r>
      <w:r>
        <w:rPr>
          <w:rFonts w:ascii="Arial" w:hAnsi="Arial"/>
          <w:i/>
          <w:sz w:val="20"/>
        </w:rPr>
        <w:t>Un análisis conceptual del precedente judicial</w:t>
      </w:r>
      <w:r>
        <w:rPr>
          <w:rFonts w:ascii="Arial" w:hAnsi="Arial"/>
          <w:i w:val="0"/>
          <w:sz w:val="20"/>
        </w:rPr>
        <w:t>, Universidad Nacional Autónoma de México, Instituto de Investigaciones Jurídicas, México, 2018.</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