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RECURSO DE INCONFORMIDAD. MONTO PENSIONARIO Y DEDUCCIONES FISCALES EN EL CUMPLIMIENTO DE LA EJECUTORIA</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adáptalo al escrito de recurso de inconformidad. Primero localiza en el expediente tres piezas: la ejecutoria y sus efectos, el informe de cumplimiento con las documentales que exhibió el instituto, y tu escrito de desahogo de la vista donde objetaste el cálculo.</w:t>
      </w:r>
    </w:p>
    <w:p>
      <w:pPr>
        <w:spacing w:line="360" w:lineRule="auto"/>
        <w:jc w:val="both"/>
      </w:pPr>
      <w:r>
        <w:rPr>
          <w:rFonts w:ascii="Arial" w:hAnsi="Arial"/>
          <w:b w:val="0"/>
          <w:i w:val="0"/>
          <w:sz w:val="24"/>
        </w:rPr>
        <w:t>Después llena los campos editables, copia textualmente la consideración del acuerdo que combates y verifica el plazo de interposición en el artículo 202 de la Ley de Amparo; el recurso se presenta por conducto del juzgado que dictó el acuerdo. Si tu asunto está fuera del Quinto Circuito, conserva el párrafo que explica el alcance de la jurisprudencia.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AGRAVIO]</w:t>
      </w:r>
      <w:r>
        <w:rPr>
          <w:rFonts w:ascii="Arial" w:hAnsi="Arial"/>
          <w:b w:val="0"/>
          <w:i w:val="0"/>
          <w:sz w:val="24"/>
        </w:rPr>
        <w:t>: el ordinal que le corresponda en tu escrito (PRIMERO, ÚNICO…).</w:t>
      </w:r>
    </w:p>
    <w:p>
      <w:pPr>
        <w:spacing w:line="360" w:lineRule="auto"/>
        <w:jc w:val="both"/>
      </w:pPr>
      <w:r>
        <w:rPr>
          <w:rFonts w:ascii="Arial" w:hAnsi="Arial"/>
          <w:b/>
          <w:i w:val="0"/>
          <w:sz w:val="24"/>
        </w:rPr>
        <w:t>[FECHA DEL ACUERDO RECURRIDO]</w:t>
      </w:r>
      <w:r>
        <w:rPr>
          <w:rFonts w:ascii="Arial" w:hAnsi="Arial"/>
          <w:b w:val="0"/>
          <w:i w:val="0"/>
          <w:sz w:val="24"/>
        </w:rPr>
        <w:t>: fecha del acuerdo que declaró cumplida la ejecutoria.</w:t>
      </w:r>
    </w:p>
    <w:p>
      <w:pPr>
        <w:spacing w:line="360" w:lineRule="auto"/>
        <w:jc w:val="both"/>
      </w:pPr>
      <w:r>
        <w:rPr>
          <w:rFonts w:ascii="Arial" w:hAnsi="Arial"/>
          <w:b/>
          <w:i w:val="0"/>
          <w:sz w:val="24"/>
        </w:rPr>
        <w:t>[FECHA DE NOTIFICACIÓN DEL ACUERDO RECURRIDO]</w:t>
      </w:r>
      <w:r>
        <w:rPr>
          <w:rFonts w:ascii="Arial" w:hAnsi="Arial"/>
          <w:b w:val="0"/>
          <w:i w:val="0"/>
          <w:sz w:val="24"/>
        </w:rPr>
        <w:t>: fecha en que te fue notificado, para acreditar la oportunidad.</w:t>
      </w:r>
    </w:p>
    <w:p>
      <w:pPr>
        <w:spacing w:line="360" w:lineRule="auto"/>
        <w:jc w:val="both"/>
      </w:pPr>
      <w:r>
        <w:rPr>
          <w:rFonts w:ascii="Arial" w:hAnsi="Arial"/>
          <w:b/>
          <w:i w:val="0"/>
          <w:sz w:val="24"/>
        </w:rPr>
        <w:t>[JUZGADO DE DISTRITO]</w:t>
      </w:r>
      <w:r>
        <w:rPr>
          <w:rFonts w:ascii="Arial" w:hAnsi="Arial"/>
          <w:b w:val="0"/>
          <w:i w:val="0"/>
          <w:sz w:val="24"/>
        </w:rPr>
        <w:t>: denominación completa del juzgado que dictó el acuerdo.</w:t>
      </w:r>
    </w:p>
    <w:p>
      <w:pPr>
        <w:spacing w:line="360" w:lineRule="auto"/>
        <w:jc w:val="both"/>
      </w:pPr>
      <w:r>
        <w:rPr>
          <w:rFonts w:ascii="Arial" w:hAnsi="Arial"/>
          <w:b/>
          <w:i w:val="0"/>
          <w:sz w:val="24"/>
        </w:rPr>
        <w:t>[NÚMERO DE EXPEDIENTE DEL JUICIO DE AMPARO]</w:t>
      </w:r>
      <w:r>
        <w:rPr>
          <w:rFonts w:ascii="Arial" w:hAnsi="Arial"/>
          <w:b w:val="0"/>
          <w:i w:val="0"/>
          <w:sz w:val="24"/>
        </w:rPr>
        <w:t>: número del juicio de amparo indirecto.</w:t>
      </w:r>
    </w:p>
    <w:p>
      <w:pPr>
        <w:spacing w:line="360" w:lineRule="auto"/>
        <w:jc w:val="both"/>
      </w:pPr>
      <w:r>
        <w:rPr>
          <w:rFonts w:ascii="Arial" w:hAnsi="Arial"/>
          <w:b/>
          <w:i w:val="0"/>
          <w:sz w:val="24"/>
        </w:rPr>
        <w:t>[NOMBRE DE LA PERSONA QUEJOSA]</w:t>
      </w:r>
      <w:r>
        <w:rPr>
          <w:rFonts w:ascii="Arial" w:hAnsi="Arial"/>
          <w:b w:val="0"/>
          <w:i w:val="0"/>
          <w:sz w:val="24"/>
        </w:rPr>
        <w:t>: nombre de la persona pensionada.</w:t>
      </w:r>
    </w:p>
    <w:p>
      <w:pPr>
        <w:spacing w:line="360" w:lineRule="auto"/>
        <w:jc w:val="both"/>
      </w:pPr>
      <w:r>
        <w:rPr>
          <w:rFonts w:ascii="Arial" w:hAnsi="Arial"/>
          <w:b/>
          <w:i w:val="0"/>
          <w:sz w:val="24"/>
        </w:rPr>
        <w:t>[INSTITUTO DE SEGURIDAD SOCIAL RESPONSABLE]</w:t>
      </w:r>
      <w:r>
        <w:rPr>
          <w:rFonts w:ascii="Arial" w:hAnsi="Arial"/>
          <w:b w:val="0"/>
          <w:i w:val="0"/>
          <w:sz w:val="24"/>
        </w:rPr>
        <w:t>: el ISSSTE o el instituto estatal, con su denominación oficial.</w:t>
      </w:r>
    </w:p>
    <w:p>
      <w:pPr>
        <w:spacing w:line="360" w:lineRule="auto"/>
        <w:jc w:val="both"/>
      </w:pPr>
      <w:r>
        <w:rPr>
          <w:rFonts w:ascii="Arial" w:hAnsi="Arial"/>
          <w:b/>
          <w:i w:val="0"/>
          <w:sz w:val="24"/>
        </w:rPr>
        <w:t>[FECHA DE LA EJECUTORIA DE AMPARO]</w:t>
      </w:r>
      <w:r>
        <w:rPr>
          <w:rFonts w:ascii="Arial" w:hAnsi="Arial"/>
          <w:b w:val="0"/>
          <w:i w:val="0"/>
          <w:sz w:val="24"/>
        </w:rPr>
        <w:t>: fecha de la sentencia que concedió el amparo.</w:t>
      </w:r>
    </w:p>
    <w:p>
      <w:pPr>
        <w:spacing w:line="360" w:lineRule="auto"/>
        <w:jc w:val="both"/>
      </w:pPr>
      <w:r>
        <w:rPr>
          <w:rFonts w:ascii="Arial" w:hAnsi="Arial"/>
          <w:b/>
          <w:i w:val="0"/>
          <w:sz w:val="24"/>
        </w:rPr>
        <w:t>[DOCUMENTO EXHIBIDO POR LA RESPONSABLE]</w:t>
      </w:r>
      <w:r>
        <w:rPr>
          <w:rFonts w:ascii="Arial" w:hAnsi="Arial"/>
          <w:b w:val="0"/>
          <w:i w:val="0"/>
          <w:sz w:val="24"/>
        </w:rPr>
        <w:t>: oficio, hoja de cálculo, recibo o comprobante con que informó el cumplimiento.</w:t>
      </w:r>
    </w:p>
    <w:p>
      <w:pPr>
        <w:spacing w:line="360" w:lineRule="auto"/>
        <w:jc w:val="both"/>
      </w:pPr>
      <w:r>
        <w:rPr>
          <w:rFonts w:ascii="Arial" w:hAnsi="Arial"/>
          <w:b/>
          <w:i w:val="0"/>
          <w:sz w:val="24"/>
        </w:rPr>
        <w:t>[MONTO PENSIONARIO DETERMINADO POR LA RESPONSABLE]</w:t>
      </w:r>
      <w:r>
        <w:rPr>
          <w:rFonts w:ascii="Arial" w:hAnsi="Arial"/>
          <w:b w:val="0"/>
          <w:i w:val="0"/>
          <w:sz w:val="24"/>
        </w:rPr>
        <w:t>: la nueva cuantía mensual que fijó el instituto.</w:t>
      </w:r>
    </w:p>
    <w:p>
      <w:pPr>
        <w:spacing w:line="360" w:lineRule="auto"/>
        <w:jc w:val="both"/>
      </w:pPr>
      <w:r>
        <w:rPr>
          <w:rFonts w:ascii="Arial" w:hAnsi="Arial"/>
          <w:b/>
          <w:i w:val="0"/>
          <w:sz w:val="24"/>
        </w:rPr>
        <w:t>[MONTO DE LAS DEDUCCIONES APLICADAS]</w:t>
      </w:r>
      <w:r>
        <w:rPr>
          <w:rFonts w:ascii="Arial" w:hAnsi="Arial"/>
          <w:b w:val="0"/>
          <w:i w:val="0"/>
          <w:sz w:val="24"/>
        </w:rPr>
        <w:t>: cantidad retenida por impuesto sobre la renta u otros conceptos.</w:t>
      </w:r>
    </w:p>
    <w:p>
      <w:pPr>
        <w:spacing w:line="360" w:lineRule="auto"/>
        <w:jc w:val="both"/>
      </w:pPr>
      <w:r>
        <w:rPr>
          <w:rFonts w:ascii="Arial" w:hAnsi="Arial"/>
          <w:b/>
          <w:i w:val="0"/>
          <w:sz w:val="24"/>
        </w:rPr>
        <w:t>[FECHA DEL DESAHOGO DE LA VISTA]</w:t>
      </w:r>
      <w:r>
        <w:rPr>
          <w:rFonts w:ascii="Arial" w:hAnsi="Arial"/>
          <w:b w:val="0"/>
          <w:i w:val="0"/>
          <w:sz w:val="24"/>
        </w:rPr>
        <w:t>: fecha de tu escrito en que objetaste las constancias.</w:t>
      </w:r>
    </w:p>
    <w:p>
      <w:pPr>
        <w:spacing w:line="360" w:lineRule="auto"/>
        <w:jc w:val="both"/>
      </w:pPr>
      <w:r>
        <w:rPr>
          <w:rFonts w:ascii="Arial" w:hAnsi="Arial"/>
          <w:b/>
          <w:i w:val="0"/>
          <w:sz w:val="24"/>
        </w:rPr>
        <w:t>[CONSIDERACIÓN DEL ACUERDO RECURRIDO]</w:t>
      </w:r>
      <w:r>
        <w:rPr>
          <w:rFonts w:ascii="Arial" w:hAnsi="Arial"/>
          <w:b w:val="0"/>
          <w:i w:val="0"/>
          <w:sz w:val="24"/>
        </w:rPr>
        <w:t>: transcripción literal del razonamiento del juzgado que combates.</w:t>
      </w:r>
    </w:p>
    <w:p/>
    <w:p>
      <w:pPr>
        <w:spacing w:line="360" w:lineRule="auto"/>
        <w:jc w:val="both"/>
      </w:pPr>
      <w:r>
        <w:rPr>
          <w:rFonts w:ascii="Arial" w:hAnsi="Arial"/>
          <w:b/>
          <w:sz w:val="28"/>
        </w:rPr>
        <w:t>[NÚMERO ORDINAL DEL AGRAVIO] AGRAVIO. Indebida declaratoria de cumplimiento de la ejecutoria de amparo. El acuerdo recurrido tuvo por cumplida la sentencia protectora sin examinar el nuevo monto pensionario ni las deducciones fiscales que la autoridad responsable fijó por sí y ante sí, pese a que esa determinación es una cuestión vinculada de manera directa e inmediata al cumplimiento y forma parte del procedimiento de ejecución, en contravención de los artículos 77, fracción I, 193, párrafo cuarto, y 196 de la Ley de Amparo.</w:t>
      </w:r>
    </w:p>
    <w:p>
      <w:pPr>
        <w:spacing w:line="360" w:lineRule="auto"/>
        <w:jc w:val="both"/>
      </w:pPr>
      <w:r>
        <w:rPr>
          <w:rFonts w:ascii="Arial" w:hAnsi="Arial"/>
          <w:b/>
          <w:sz w:val="28"/>
        </w:rPr>
        <w:t>I. Síntesis del agravio.</w:t>
      </w:r>
    </w:p>
    <w:p>
      <w:pPr>
        <w:spacing w:line="360" w:lineRule="auto"/>
        <w:jc w:val="both"/>
      </w:pPr>
      <w:r>
        <w:rPr>
          <w:rFonts w:ascii="Arial" w:hAnsi="Arial"/>
          <w:b w:val="0"/>
          <w:i w:val="0"/>
          <w:sz w:val="28"/>
        </w:rPr>
        <w:t xml:space="preserve">En este apartado se demostrará que el acuerdo de </w:t>
      </w:r>
      <w:r>
        <w:rPr>
          <w:rFonts w:ascii="Arial" w:hAnsi="Arial"/>
          <w:b/>
          <w:i w:val="0"/>
          <w:sz w:val="28"/>
        </w:rPr>
        <w:t>[FECHA DEL ACUERDO RECURRIDO]</w:t>
      </w:r>
      <w:r>
        <w:rPr>
          <w:rFonts w:ascii="Arial" w:hAnsi="Arial"/>
          <w:b w:val="0"/>
          <w:i w:val="0"/>
          <w:sz w:val="28"/>
        </w:rPr>
        <w:t xml:space="preserve">, dictado por el </w:t>
      </w:r>
      <w:r>
        <w:rPr>
          <w:rFonts w:ascii="Arial" w:hAnsi="Arial"/>
          <w:b/>
          <w:i w:val="0"/>
          <w:sz w:val="28"/>
        </w:rPr>
        <w:t>[JUZGADO DE DISTRITO]</w:t>
      </w:r>
      <w:r>
        <w:rPr>
          <w:rFonts w:ascii="Arial" w:hAnsi="Arial"/>
          <w:b w:val="0"/>
          <w:i w:val="0"/>
          <w:sz w:val="28"/>
        </w:rPr>
        <w:t xml:space="preserve"> en el juicio de amparo </w:t>
      </w:r>
      <w:r>
        <w:rPr>
          <w:rFonts w:ascii="Arial" w:hAnsi="Arial"/>
          <w:b/>
          <w:i w:val="0"/>
          <w:sz w:val="28"/>
        </w:rPr>
        <w:t>[NÚMERO DE EXPEDIENTE DEL JUICIO DE AMPARO]</w:t>
      </w:r>
      <w:r>
        <w:rPr>
          <w:rFonts w:ascii="Arial" w:hAnsi="Arial"/>
          <w:b w:val="0"/>
          <w:i w:val="0"/>
          <w:sz w:val="28"/>
        </w:rPr>
        <w:t xml:space="preserve">, que declaró cumplida la ejecutoria dictada en favor de </w:t>
      </w:r>
      <w:r>
        <w:rPr>
          <w:rFonts w:ascii="Arial" w:hAnsi="Arial"/>
          <w:b/>
          <w:i w:val="0"/>
          <w:sz w:val="28"/>
        </w:rPr>
        <w:t>[NOMBRE DE LA PERSONA QUEJOSA]</w:t>
      </w:r>
      <w:r>
        <w:rPr>
          <w:rFonts w:ascii="Arial" w:hAnsi="Arial"/>
          <w:b w:val="0"/>
          <w:i w:val="0"/>
          <w:sz w:val="28"/>
        </w:rPr>
        <w:t xml:space="preserve">, es ilegal porque cerró el procedimiento de ejecución sin verificar si el nuevo monto de la pensión y las deducciones fiscales que le aplicó el </w:t>
      </w:r>
      <w:r>
        <w:rPr>
          <w:rFonts w:ascii="Arial" w:hAnsi="Arial"/>
          <w:b/>
          <w:i w:val="0"/>
          <w:sz w:val="28"/>
        </w:rPr>
        <w:t>[INSTITUTO DE SEGURIDAD SOCIAL RESPONSABLE]</w:t>
      </w:r>
      <w:r>
        <w:rPr>
          <w:rFonts w:ascii="Arial" w:hAnsi="Arial"/>
          <w:b w:val="0"/>
          <w:i w:val="0"/>
          <w:sz w:val="28"/>
        </w:rPr>
        <w:t xml:space="preserve"> corresponden efectivamente a lo ordenado en la sentencia protectora.</w:t>
      </w:r>
    </w:p>
    <w:p>
      <w:pPr>
        <w:spacing w:line="360" w:lineRule="auto"/>
        <w:jc w:val="both"/>
      </w:pPr>
      <w:r>
        <w:rPr>
          <w:rFonts w:ascii="Arial" w:hAnsi="Arial"/>
          <w:b w:val="0"/>
          <w:i w:val="0"/>
          <w:sz w:val="28"/>
        </w:rPr>
        <w:t>La demostración descansa en una premisa que la Ley de Amparo enuncia sin matices: la ejecutoria sólo se entiende cumplida cuando lo es en su totalidad, sin excesos ni defectos, y la resolución que así lo declare debe ser fundada y motivada. Si la sentencia ordenó recalcular la pensión y pagar las diferencias, el cumplimiento no consiste en que la responsable informe una cifra, sino en que esa cifra sea la que el derecho restituido exige; comprobarlo es tarea del órgano de amparo, no un asunto ajeno que deba ventilarse en otra vía.</w:t>
      </w:r>
    </w:p>
    <w:p>
      <w:pPr>
        <w:spacing w:line="360" w:lineRule="auto"/>
        <w:jc w:val="both"/>
      </w:pPr>
      <w:r>
        <w:rPr>
          <w:rFonts w:ascii="Arial" w:hAnsi="Arial"/>
          <w:b w:val="0"/>
          <w:i w:val="0"/>
          <w:sz w:val="28"/>
        </w:rPr>
        <w:t>Esa premisa no es una construcción de la parte recurrente. La recoge la jurisprudencia que más adelante se transcribe, conforme a la cual la determinación del nuevo monto pensionario y de sus deducciones fiscales, hecha por las responsables en ejecución de una sentencia sin cantidad líquida, es cuestión vinculada de manera directa e inmediata al cumplimiento y forma parte del procedimiento de ejecución. De prosperar el agravio, procede revocar el acuerdo recurrido y ordenar que ese examen se realice.</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recurrida es el acuerdo de </w:t>
      </w:r>
      <w:r>
        <w:rPr>
          <w:rFonts w:ascii="Arial" w:hAnsi="Arial"/>
          <w:b/>
          <w:i w:val="0"/>
          <w:sz w:val="28"/>
        </w:rPr>
        <w:t>[FECHA DEL ACUERDO RECURRIDO]</w:t>
      </w:r>
      <w:r>
        <w:rPr>
          <w:rFonts w:ascii="Arial" w:hAnsi="Arial"/>
          <w:b w:val="0"/>
          <w:i w:val="0"/>
          <w:sz w:val="28"/>
        </w:rPr>
        <w:t xml:space="preserve">, notificado a la parte quejosa el </w:t>
      </w:r>
      <w:r>
        <w:rPr>
          <w:rFonts w:ascii="Arial" w:hAnsi="Arial"/>
          <w:b/>
          <w:i w:val="0"/>
          <w:sz w:val="28"/>
        </w:rPr>
        <w:t>[FECHA DE NOTIFICACIÓN DEL ACUERDO RECURRIDO]</w:t>
      </w:r>
      <w:r>
        <w:rPr>
          <w:rFonts w:ascii="Arial" w:hAnsi="Arial"/>
          <w:b w:val="0"/>
          <w:i w:val="0"/>
          <w:sz w:val="28"/>
        </w:rPr>
        <w:t xml:space="preserve">, mediante el cual el </w:t>
      </w:r>
      <w:r>
        <w:rPr>
          <w:rFonts w:ascii="Arial" w:hAnsi="Arial"/>
          <w:b/>
          <w:i w:val="0"/>
          <w:sz w:val="28"/>
        </w:rPr>
        <w:t>[JUZGADO DE DISTRITO]</w:t>
      </w:r>
      <w:r>
        <w:rPr>
          <w:rFonts w:ascii="Arial" w:hAnsi="Arial"/>
          <w:b w:val="0"/>
          <w:i w:val="0"/>
          <w:sz w:val="28"/>
        </w:rPr>
        <w:t xml:space="preserve"> tuvo por cumplida la ejecutoria de </w:t>
      </w:r>
      <w:r>
        <w:rPr>
          <w:rFonts w:ascii="Arial" w:hAnsi="Arial"/>
          <w:b/>
          <w:i w:val="0"/>
          <w:sz w:val="28"/>
        </w:rPr>
        <w:t>[FECHA DE LA EJECUTORIA DE AMPARO]</w:t>
      </w:r>
      <w:r>
        <w:rPr>
          <w:rFonts w:ascii="Arial" w:hAnsi="Arial"/>
          <w:b w:val="0"/>
          <w:i w:val="0"/>
          <w:sz w:val="28"/>
        </w:rPr>
        <w:t>, en términos del artículo 196 de la Ley de Amparo, y ordenó el archivo del expediente. Contra esa determinación procede el recurso de inconformidad conforme al artículo 201, fracción I, del mismo ordenamiento, que se interpone dentro del plazo previsto en su artículo 202.</w:t>
      </w:r>
    </w:p>
    <w:p>
      <w:pPr>
        <w:spacing w:line="360" w:lineRule="auto"/>
        <w:jc w:val="both"/>
      </w:pPr>
      <w:r>
        <w:rPr>
          <w:rFonts w:ascii="Arial" w:hAnsi="Arial"/>
          <w:b w:val="0"/>
          <w:i w:val="0"/>
          <w:sz w:val="28"/>
        </w:rPr>
        <w:t xml:space="preserve">La ejecutoria concedió el amparo para el efecto de que el </w:t>
      </w:r>
      <w:r>
        <w:rPr>
          <w:rFonts w:ascii="Arial" w:hAnsi="Arial"/>
          <w:b/>
          <w:i w:val="0"/>
          <w:sz w:val="28"/>
        </w:rPr>
        <w:t>[INSTITUTO DE SEGURIDAD SOCIAL RESPONSABLE]</w:t>
      </w:r>
      <w:r>
        <w:rPr>
          <w:rFonts w:ascii="Arial" w:hAnsi="Arial"/>
          <w:b w:val="0"/>
          <w:i w:val="0"/>
          <w:sz w:val="28"/>
        </w:rPr>
        <w:t xml:space="preserve"> siguiera el procedimiento legal para determinar el monto de la pensión de la persona quejosa, calculara el nuevo monto pensionario y le enterara las diferencias resultantes. La sentencia no fijó cantidad líquida: encomendó a la responsable el cálculo, pero bajo la vigilancia del órgano de amparo, que es quien debe constatar que lo ordenado quedó satisfecho.</w:t>
      </w:r>
    </w:p>
    <w:p>
      <w:pPr>
        <w:spacing w:line="360" w:lineRule="auto"/>
        <w:jc w:val="both"/>
      </w:pPr>
      <w:r>
        <w:rPr>
          <w:rFonts w:ascii="Arial" w:hAnsi="Arial"/>
          <w:b w:val="0"/>
          <w:i w:val="0"/>
          <w:sz w:val="28"/>
        </w:rPr>
        <w:t xml:space="preserve">En cumplimiento, la responsable exhibió </w:t>
      </w:r>
      <w:r>
        <w:rPr>
          <w:rFonts w:ascii="Arial" w:hAnsi="Arial"/>
          <w:b/>
          <w:i w:val="0"/>
          <w:sz w:val="28"/>
        </w:rPr>
        <w:t>[DOCUMENTO EXHIBIDO POR LA RESPONSABLE]</w:t>
      </w:r>
      <w:r>
        <w:rPr>
          <w:rFonts w:ascii="Arial" w:hAnsi="Arial"/>
          <w:b w:val="0"/>
          <w:i w:val="0"/>
          <w:sz w:val="28"/>
        </w:rPr>
        <w:t xml:space="preserve">, en el que consignó un nuevo monto de </w:t>
      </w:r>
      <w:r>
        <w:rPr>
          <w:rFonts w:ascii="Arial" w:hAnsi="Arial"/>
          <w:b/>
          <w:i w:val="0"/>
          <w:sz w:val="28"/>
        </w:rPr>
        <w:t>[MONTO PENSIONARIO DETERMINADO POR LA RESPONSABLE]</w:t>
      </w:r>
      <w:r>
        <w:rPr>
          <w:rFonts w:ascii="Arial" w:hAnsi="Arial"/>
          <w:b w:val="0"/>
          <w:i w:val="0"/>
          <w:sz w:val="28"/>
        </w:rPr>
        <w:t xml:space="preserve"> y aplicó deducciones por concepto de impuesto sobre la renta por </w:t>
      </w:r>
      <w:r>
        <w:rPr>
          <w:rFonts w:ascii="Arial" w:hAnsi="Arial"/>
          <w:b/>
          <w:i w:val="0"/>
          <w:sz w:val="28"/>
        </w:rPr>
        <w:t>[MONTO DE LAS DEDUCCIONES APLICADAS]</w:t>
      </w:r>
      <w:r>
        <w:rPr>
          <w:rFonts w:ascii="Arial" w:hAnsi="Arial"/>
          <w:b w:val="0"/>
          <w:i w:val="0"/>
          <w:sz w:val="28"/>
        </w:rPr>
        <w:t xml:space="preserve">, sin acompañar el procedimiento de cálculo, las bases consideradas ni el fundamento de la retención. Al desahogar la vista el </w:t>
      </w:r>
      <w:r>
        <w:rPr>
          <w:rFonts w:ascii="Arial" w:hAnsi="Arial"/>
          <w:b/>
          <w:i w:val="0"/>
          <w:sz w:val="28"/>
        </w:rPr>
        <w:t>[FECHA DEL DESAHOGO DE LA VISTA]</w:t>
      </w:r>
      <w:r>
        <w:rPr>
          <w:rFonts w:ascii="Arial" w:hAnsi="Arial"/>
          <w:b w:val="0"/>
          <w:i w:val="0"/>
          <w:sz w:val="28"/>
        </w:rPr>
        <w:t>, la parte quejosa objetó la insuficiencia de esas constancias y pidió que se abriera un incidente para verificar el cálculo.</w:t>
      </w:r>
    </w:p>
    <w:p>
      <w:pPr>
        <w:spacing w:line="360" w:lineRule="auto"/>
        <w:jc w:val="both"/>
      </w:pPr>
      <w:r>
        <w:rPr>
          <w:rFonts w:ascii="Arial" w:hAnsi="Arial"/>
          <w:b w:val="0"/>
          <w:i w:val="0"/>
          <w:sz w:val="28"/>
        </w:rPr>
        <w:t xml:space="preserve">El acuerdo recurrido desestimó la objeción con la consideración de que </w:t>
      </w:r>
      <w:r>
        <w:rPr>
          <w:rFonts w:ascii="Arial" w:hAnsi="Arial"/>
          <w:b/>
          <w:i w:val="0"/>
          <w:sz w:val="28"/>
        </w:rPr>
        <w:t>[CONSIDERACIÓN DEL ACUERDO RECURRIDO]</w:t>
      </w:r>
      <w:r>
        <w:rPr>
          <w:rFonts w:ascii="Arial" w:hAnsi="Arial"/>
          <w:b w:val="0"/>
          <w:i w:val="0"/>
          <w:sz w:val="28"/>
        </w:rPr>
        <w:t>; en esencia, sostuvo que la ejecutoria no contenía cantidad líquida, que la responsable ya había recalculado la pensión y pagado diferencias, y que cualquier desacuerdo sobre el monto o sobre las retenciones era una cuestión ajena al cumplimiento que debía plantearse en la vía correspondiente. Con ello se dio por satisfecha la protección constitucional sin verificar la sustancia de la restitución.</w:t>
      </w:r>
    </w:p>
    <w:p>
      <w:pPr>
        <w:spacing w:line="360" w:lineRule="auto"/>
        <w:jc w:val="both"/>
      </w:pPr>
      <w:r>
        <w:rPr>
          <w:rFonts w:ascii="Arial" w:hAnsi="Arial"/>
          <w:b w:val="0"/>
          <w:i w:val="0"/>
          <w:sz w:val="28"/>
        </w:rPr>
        <w:t>Las normas inobservadas son el artículo 77, fracción I y párrafo segundo, de la Ley de Amparo, que fija como efecto de la concesión la restitución de la persona quejosa en el pleno goce del derecho violado; el artículo 196, que exige un cumplimiento total, sin excesos ni defectos, declarado en resolución fundada y motivada; y el artículo 17 constitucional, que garantiza la ejecución completa de las sentencias. El perjuicio es concreto: la persona pensionada recibe una cantidad que nadie ha verificado y pierde la vía de ejecución para reclamar lo que falta.</w:t>
      </w:r>
    </w:p>
    <w:p>
      <w:pPr>
        <w:spacing w:line="360" w:lineRule="auto"/>
        <w:jc w:val="both"/>
      </w:pPr>
      <w:r>
        <w:rPr>
          <w:rFonts w:ascii="Arial" w:hAnsi="Arial"/>
          <w:b/>
          <w:sz w:val="28"/>
        </w:rPr>
        <w:t>III. Desarrollo normativo, jurisprudencial y doctrinal. Premisa mayor.</w:t>
      </w:r>
    </w:p>
    <w:p>
      <w:pPr>
        <w:spacing w:line="360" w:lineRule="auto"/>
        <w:jc w:val="both"/>
      </w:pPr>
      <w:r>
        <w:rPr>
          <w:rFonts w:ascii="Arial" w:hAnsi="Arial"/>
          <w:b w:val="0"/>
          <w:i w:val="0"/>
          <w:sz w:val="28"/>
        </w:rPr>
        <w:t>Conviene partir del artículo 77 de la Ley de Amparo. Cuando el acto reclamado es de carácter positivo, el efecto de la concesión es restituir a la persona quejosa en el pleno goce del derecho violado, restableciendo las cosas al estado que guardaban antes de la violación; y el propio precepto impone a la persona juzgadora precisar con exactitud los efectos del fallo y las medidas que las autoridades deban adoptar para asegurar su estricto cumplimiento y la restitución. El eje del sistema es, pues, la restitución efectiva, no la mera realización de un acto por la responsable.</w:t>
      </w:r>
    </w:p>
    <w:p>
      <w:pPr>
        <w:spacing w:line="360" w:lineRule="auto"/>
        <w:jc w:val="both"/>
      </w:pPr>
      <w:r>
        <w:rPr>
          <w:rFonts w:ascii="Arial" w:hAnsi="Arial"/>
          <w:b w:val="0"/>
          <w:i w:val="0"/>
          <w:sz w:val="28"/>
        </w:rPr>
        <w:t>La doctrina procesal constitucional explica que, en el juicio de amparo, la restitución consiste en obtener el pleno disfrute y la eficacia de los derechos fundamentales lesionados, desconocidos o erosionados, en consonancia con las obligaciones estatales de proteger, garantizar y reparar que derivan del artículo 1º constitucional.</w:t>
      </w:r>
      <w:r>
        <w:rPr>
          <w:rFonts w:ascii="Arial" w:hAnsi="Arial"/>
          <w:vertAlign w:val="superscript"/>
        </w:rPr>
        <w:t>1</w:t>
      </w:r>
      <w:r>
        <w:rPr>
          <w:rFonts w:ascii="Arial" w:hAnsi="Arial"/>
          <w:b w:val="0"/>
          <w:i w:val="0"/>
          <w:sz w:val="28"/>
        </w:rPr>
        <w:t xml:space="preserve"> Cuando el derecho restituido es una pensión, el </w:t>
      </w:r>
      <w:r>
        <w:rPr>
          <w:rFonts w:ascii="Arial" w:hAnsi="Arial"/>
          <w:b w:val="0"/>
          <w:i/>
          <w:sz w:val="28"/>
        </w:rPr>
        <w:t>«pleno disfrute»</w:t>
      </w:r>
      <w:r>
        <w:rPr>
          <w:rFonts w:ascii="Arial" w:hAnsi="Arial"/>
          <w:b w:val="0"/>
          <w:i w:val="0"/>
          <w:sz w:val="28"/>
        </w:rPr>
        <w:t xml:space="preserve"> tiene una expresión aritmética: la cuantía correcta, calculada conforme a la ley aplicable y sin descuentos que la ley no autorice.</w:t>
      </w:r>
    </w:p>
    <w:p>
      <w:pPr>
        <w:spacing w:line="360" w:lineRule="auto"/>
        <w:jc w:val="both"/>
      </w:pPr>
      <w:r>
        <w:rPr>
          <w:rFonts w:ascii="Arial" w:hAnsi="Arial"/>
          <w:b w:val="0"/>
          <w:i w:val="0"/>
          <w:sz w:val="28"/>
        </w:rPr>
        <w:t>La plenitud de la tutela jurisdiccional que garantiza el artículo 17 constitucional sólo se agota con la ejecución material de la sentencia, de modo que la actividad del órgano de amparo no culmina al dictar el fallo, sino al comprobar que se cumplió. Por eso el artículo 196 de la Ley de Amparo no se conforma con el informe de la responsable: exige dar vista a la parte quejosa y dictar una resolución fundada y motivada que declare si la sentencia está cumplida, si lo está con exceso o defecto, o si es de imposible cumplimiento.</w:t>
      </w:r>
    </w:p>
    <w:p>
      <w:pPr>
        <w:spacing w:line="360" w:lineRule="auto"/>
        <w:jc w:val="both"/>
      </w:pPr>
      <w:r>
        <w:rPr>
          <w:rFonts w:ascii="Arial" w:hAnsi="Arial"/>
          <w:b w:val="0"/>
          <w:i w:val="0"/>
          <w:sz w:val="28"/>
        </w:rPr>
        <w:t xml:space="preserve">El propio artículo 196 define el estándar: la ejecutoria </w:t>
      </w:r>
      <w:r>
        <w:rPr>
          <w:rFonts w:ascii="Arial" w:hAnsi="Arial"/>
          <w:b w:val="0"/>
          <w:i/>
          <w:sz w:val="28"/>
        </w:rPr>
        <w:t>«se entiende cumplida cuando lo sea en su totalidad, sin excesos ni defectos»</w:t>
      </w:r>
      <w:r>
        <w:rPr>
          <w:rFonts w:ascii="Arial" w:hAnsi="Arial"/>
          <w:b w:val="0"/>
          <w:i w:val="0"/>
          <w:sz w:val="28"/>
        </w:rPr>
        <w:t>. Y el artículo 193, párrafo cuarto, prevé que, cuando sea necesario precisar, definir o concretar la forma o los términos del cumplimiento, cualquiera de los órganos judiciales competentes puede ordenar, de oficio o a petición de parte, que se abra un incidente para tal efecto. El legislador previó, así, la herramienta exacta para el caso en que la sentencia no fija cantidad líquida y la responsable la cuantifica por sí misma.</w:t>
      </w:r>
    </w:p>
    <w:p>
      <w:pPr>
        <w:spacing w:line="360" w:lineRule="auto"/>
        <w:jc w:val="both"/>
      </w:pPr>
      <w:r>
        <w:rPr>
          <w:rFonts w:ascii="Arial" w:hAnsi="Arial"/>
          <w:b w:val="0"/>
          <w:i w:val="0"/>
          <w:sz w:val="28"/>
        </w:rPr>
        <w:t>En ese contexto se inscribe el recurso de inconformidad. La doctrina lo describe como el medio para impugnar la resolución que tiene por cumplida la sentencia de amparo, y advierte que el previsto en la fracción I del artículo 201 es de primordial importancia porque garantiza que el juicio de amparo sea un medio de defensa efectivo, de suerte que la inconformidad contra la declaratoria de cumplimiento debe entenderse como un cuestionamiento a la eficacia reparadora del juicio en el caso concreto.</w:t>
      </w:r>
      <w:r>
        <w:rPr>
          <w:rFonts w:ascii="Arial" w:hAnsi="Arial"/>
          <w:vertAlign w:val="superscript"/>
        </w:rPr>
        <w:t>2</w:t>
      </w:r>
    </w:p>
    <w:p>
      <w:pPr>
        <w:spacing w:line="360" w:lineRule="auto"/>
        <w:jc w:val="both"/>
      </w:pPr>
      <w:r>
        <w:rPr>
          <w:rFonts w:ascii="Arial" w:hAnsi="Arial"/>
          <w:b w:val="0"/>
          <w:i w:val="0"/>
          <w:sz w:val="28"/>
        </w:rPr>
        <w:t>De ahí que, al resolverlo, el Tribunal Colegiado deba analizar los derechos que la ejecutoria declaró violados, las medidas adoptadas por la responsable, que han de ser idóneas para lograr la reparación, y el cumplimiento total y estricto de esas medidas.</w:t>
      </w:r>
      <w:r>
        <w:rPr>
          <w:rFonts w:ascii="Arial" w:hAnsi="Arial"/>
          <w:vertAlign w:val="superscript"/>
        </w:rPr>
        <w:t>3</w:t>
      </w:r>
      <w:r>
        <w:rPr>
          <w:rFonts w:ascii="Arial" w:hAnsi="Arial"/>
          <w:b w:val="0"/>
          <w:i w:val="0"/>
          <w:sz w:val="28"/>
        </w:rPr>
        <w:t xml:space="preserve"> Un cálculo pensionario que nadie revisó y una retención fiscal cuyo fundamento no consta no pueden calificarse de medidas idóneas ni de cumplimiento estricto, sencillamente porque no se sabe si lo son.</w:t>
      </w:r>
    </w:p>
    <w:p>
      <w:pPr>
        <w:spacing w:line="360" w:lineRule="auto"/>
        <w:jc w:val="both"/>
      </w:pPr>
      <w:r>
        <w:rPr>
          <w:rFonts w:ascii="Arial" w:hAnsi="Arial"/>
          <w:b w:val="0"/>
          <w:i w:val="0"/>
          <w:sz w:val="28"/>
        </w:rPr>
        <w:t>Este razonamiento ha sido elevado a jurisprudencia. El Cuarto Tribunal Colegiado en Materias Penal y Administrativa del Quinto Circuito, al resolver cinco recursos de inconformidad en los que personas pensionadas objetaron la declaratoria de cumplimiento por considerar insuficientes las documentales de la responsable, integró la jurisprudencia V.4o.P.A. J/2 A (12a.), de los Tribunales Colegiados de Circuito, publicada en el Semanario Judicial de la Federación el viernes 14 de agosto de 2026 y obligatoria a partir del lunes 17 de agosto de 2026, registro digital 2032488, cuyo rubro se transcribe enseguida.</w:t>
      </w:r>
    </w:p>
    <w:p>
      <w:pPr>
        <w:spacing w:line="360" w:lineRule="auto"/>
        <w:jc w:val="both"/>
      </w:pPr>
      <w:r>
        <w:rPr>
          <w:rFonts w:ascii="Arial" w:hAnsi="Arial"/>
          <w:b w:val="0"/>
          <w:i/>
          <w:sz w:val="28"/>
        </w:rPr>
        <w:t>«CUMPLIMIENTO DE SENTENCIAS DE AMPARO. LA DETERMINACIÓN DEL NUEVO MONTO PENSIONARIO Y DE SUS DEDUCCIONES FISCALES, EFECTUADA POR LAS AUTORIDADES RESPONSABLES EN EJECUCIÓN DE UNA SENTENCIA QUE NO CONTIENE CANTIDAD LÍQUIDA, CONSTITUYE UNA CUESTIÓN VINCULADA DE MANERA DIRECTA E INMEDIATA AL CUMPLIMIENTO.»</w:t>
      </w:r>
    </w:p>
    <w:p>
      <w:pPr>
        <w:spacing w:line="360" w:lineRule="auto"/>
        <w:jc w:val="both"/>
      </w:pPr>
      <w:r>
        <w:rPr>
          <w:rFonts w:ascii="Arial" w:hAnsi="Arial"/>
          <w:b w:val="0"/>
          <w:i w:val="0"/>
          <w:sz w:val="28"/>
        </w:rPr>
        <w:t xml:space="preserve">Su criterio jurídico es el siguiente: </w:t>
      </w:r>
      <w:r>
        <w:rPr>
          <w:rFonts w:ascii="Arial" w:hAnsi="Arial"/>
          <w:b w:val="0"/>
          <w:i/>
          <w:sz w:val="28"/>
        </w:rPr>
        <w:t>«Cuando las autoridades responsables en cumplimiento de una ejecutoria de amparo que no contiene cantidad líquida establecen la procedencia de un nuevo monto pensionario, la determinación del monto y sus deducciones fiscales constituye una cuestión vinculada de manera directa e inmediata al cumplimiento de la sentencia y, por ende, forma parte del procedimiento de ejecución relativo.»</w:t>
      </w:r>
    </w:p>
    <w:p>
      <w:pPr>
        <w:spacing w:line="360" w:lineRule="auto"/>
        <w:jc w:val="both"/>
      </w:pPr>
      <w:r>
        <w:rPr>
          <w:rFonts w:ascii="Arial" w:hAnsi="Arial"/>
          <w:b w:val="0"/>
          <w:i w:val="0"/>
          <w:sz w:val="28"/>
        </w:rPr>
        <w:t>La justificación del criterio añade que no es obstáculo que la ejecutoria sólo hubiese ordenado, de manera general, la entrega del numerario, porque lo que se pretende es que se materialicen los deberes impuestos a la responsable, lo que conlleva la reparación íntegra del derecho vulnerado.</w:t>
      </w:r>
    </w:p>
    <w:p>
      <w:pPr>
        <w:spacing w:line="360" w:lineRule="auto"/>
        <w:jc w:val="both"/>
      </w:pPr>
      <w:r>
        <w:rPr>
          <w:rFonts w:ascii="Arial" w:hAnsi="Arial"/>
          <w:b w:val="0"/>
          <w:i w:val="0"/>
          <w:sz w:val="28"/>
        </w:rPr>
        <w:t>Conforme al artículo 217, párrafo tercero, de la Ley de Amparo, esa jurisprudencia obliga a las autoridades jurisdiccionales del Quinto Circuito, entre ellas los Juzgados de Distrito, aunque el propio precepto exceptúa a los Tribunales Colegiados; por ello, tanto en ese circuito como en los demás, sus razones son íntegramente trasladables a este asunto y ese Tribunal Colegiado puede hacerlas suyas.</w:t>
      </w:r>
    </w:p>
    <w:p>
      <w:pPr>
        <w:spacing w:line="360" w:lineRule="auto"/>
        <w:jc w:val="both"/>
      </w:pPr>
      <w:r>
        <w:rPr>
          <w:rFonts w:ascii="Arial" w:hAnsi="Arial"/>
          <w:b/>
          <w:sz w:val="28"/>
        </w:rPr>
        <w:t>IV. Aplicación al caso concreto y refutación de la motivación del acuerdo recurrido.</w:t>
      </w:r>
    </w:p>
    <w:p>
      <w:pPr>
        <w:spacing w:line="360" w:lineRule="auto"/>
        <w:jc w:val="both"/>
      </w:pPr>
      <w:r>
        <w:rPr>
          <w:rFonts w:ascii="Arial" w:hAnsi="Arial"/>
          <w:b w:val="0"/>
          <w:i w:val="0"/>
          <w:sz w:val="28"/>
        </w:rPr>
        <w:t>Los hechos encuadran con exactitud en el supuesto de la jurisprudencia. La ejecutoria no contenía cantidad líquida; la responsable estableció por sí misma la procedencia de un nuevo monto pensionario y le aplicó deducciones fiscales; y la parte quejosa objetó, en la vista del artículo 196, que las constancias eran insuficientes para saber si la cantidad era correcta. Ese es, punto por punto, el problema que el criterio resuelve: la determinación del monto y de sus deducciones forma parte del procedimiento de ejecución, y el órgano de amparo tenía que examinarla antes de declarar el cumplimiento.</w:t>
      </w:r>
    </w:p>
    <w:p>
      <w:pPr>
        <w:spacing w:line="360" w:lineRule="auto"/>
        <w:jc w:val="both"/>
      </w:pPr>
      <w:r>
        <w:rPr>
          <w:rFonts w:ascii="Arial" w:hAnsi="Arial"/>
          <w:b w:val="0"/>
          <w:i w:val="0"/>
          <w:sz w:val="28"/>
        </w:rPr>
        <w:t>El acuerdo recurrido razonó en sentido contrario: como la sentencia no fijó una cifra, lo que la responsable calculó y pagó basta para tener por cumplido el fallo, y la discrepancia sobre el monto es una cuestión distinta. Esa motivación es lógicamente defectuosa por tres razones que conviene nombrar con precisión.</w:t>
      </w:r>
    </w:p>
    <w:p>
      <w:pPr>
        <w:spacing w:line="360" w:lineRule="auto"/>
        <w:jc w:val="both"/>
      </w:pPr>
      <w:r>
        <w:rPr>
          <w:rFonts w:ascii="Arial" w:hAnsi="Arial"/>
          <w:b w:val="0"/>
          <w:i w:val="0"/>
          <w:sz w:val="28"/>
        </w:rPr>
        <w:t>En primer lugar, elude la cuestión. La falacia de ignoratio elenchi consiste en probar otra cosa diferente de la que se cuestiona.</w:t>
      </w:r>
      <w:r>
        <w:rPr>
          <w:rFonts w:ascii="Arial" w:hAnsi="Arial"/>
          <w:vertAlign w:val="superscript"/>
        </w:rPr>
        <w:t>4</w:t>
      </w:r>
      <w:r>
        <w:rPr>
          <w:rFonts w:ascii="Arial" w:hAnsi="Arial"/>
          <w:b w:val="0"/>
          <w:i w:val="0"/>
          <w:sz w:val="28"/>
        </w:rPr>
        <w:t xml:space="preserve"> Lo que estaba en discusión no era si la responsable había hecho algo, sino si lo que hizo restituye a la persona quejosa en el pleno goce de su derecho; el acuerdo demostró lo primero, que nadie negaba, y dio por resuelto lo segundo, que era la única litis del trámite de cumplimiento.</w:t>
      </w:r>
    </w:p>
    <w:p>
      <w:pPr>
        <w:spacing w:line="360" w:lineRule="auto"/>
        <w:jc w:val="both"/>
      </w:pPr>
      <w:r>
        <w:rPr>
          <w:rFonts w:ascii="Arial" w:hAnsi="Arial"/>
          <w:b w:val="0"/>
          <w:i w:val="0"/>
          <w:sz w:val="28"/>
        </w:rPr>
        <w:t>En segundo lugar, incurre en petición de principio, que la doctrina de la argumentación describe como sentar como premisa aquello mismo que es preciso demostrar, o algo cuya verdad no está probada.</w:t>
      </w:r>
      <w:r>
        <w:rPr>
          <w:rFonts w:ascii="Arial" w:hAnsi="Arial"/>
          <w:vertAlign w:val="superscript"/>
        </w:rPr>
        <w:t>5</w:t>
      </w:r>
      <w:r>
        <w:rPr>
          <w:rFonts w:ascii="Arial" w:hAnsi="Arial"/>
          <w:b w:val="0"/>
          <w:i w:val="0"/>
          <w:sz w:val="28"/>
        </w:rPr>
        <w:t xml:space="preserve"> El juzgado concluyó que la ejecutoria estaba cumplida porque la responsable había recalculado correctamente la pensión, cuando la corrección del recálculo era precisamente el punto controvertido y no había sido verificada por nadie.</w:t>
      </w:r>
    </w:p>
    <w:p>
      <w:pPr>
        <w:spacing w:line="360" w:lineRule="auto"/>
        <w:jc w:val="both"/>
      </w:pPr>
      <w:r>
        <w:rPr>
          <w:rFonts w:ascii="Arial" w:hAnsi="Arial"/>
          <w:b w:val="0"/>
          <w:i w:val="0"/>
          <w:sz w:val="28"/>
        </w:rPr>
        <w:t>En tercer lugar, invierte la carga de la prueba. En el procedimiento de ejecución es la autoridad responsable quien afirma haber cumplido; a ella corresponde exhibir el procedimiento de cálculo, las bases consideradas y el fundamento de cada retención, y no a la persona pensionada demostrar, sin esos elementos, que la cifra es incorrecta. Exigir a la parte quejosa que desvirtúe un cálculo cuyo soporte no le fue mostrado equivale a pedirle que pruebe en la oscuridad.</w:t>
      </w:r>
    </w:p>
    <w:p>
      <w:pPr>
        <w:spacing w:line="360" w:lineRule="auto"/>
        <w:jc w:val="both"/>
      </w:pPr>
      <w:r>
        <w:rPr>
          <w:rFonts w:ascii="Arial" w:hAnsi="Arial"/>
          <w:b w:val="0"/>
          <w:i w:val="0"/>
          <w:sz w:val="28"/>
        </w:rPr>
        <w:t>A lo anterior se suma un defecto de motivación. La motivación debe ser completa, de modo que todas las decisiones parciales adoptadas en el curso del proceso, tanto sobre los hechos como sobre el derecho, tengan reflejo en ella.</w:t>
      </w:r>
      <w:r>
        <w:rPr>
          <w:rFonts w:ascii="Arial" w:hAnsi="Arial"/>
          <w:vertAlign w:val="superscript"/>
        </w:rPr>
        <w:t>6</w:t>
      </w:r>
      <w:r>
        <w:rPr>
          <w:rFonts w:ascii="Arial" w:hAnsi="Arial"/>
          <w:b w:val="0"/>
          <w:i w:val="0"/>
          <w:sz w:val="28"/>
        </w:rPr>
        <w:t xml:space="preserve"> El acuerdo no dice por qué el monto informado es el que la ley ordena ni por qué las deducciones fiscales aplicadas son procedentes; simplemente remite esas preguntas a otra vía, lo que equivale a no responderlas.</w:t>
      </w:r>
    </w:p>
    <w:p>
      <w:pPr>
        <w:spacing w:line="360" w:lineRule="auto"/>
        <w:jc w:val="both"/>
      </w:pPr>
      <w:r>
        <w:rPr>
          <w:rFonts w:ascii="Arial" w:hAnsi="Arial"/>
          <w:b w:val="0"/>
          <w:i w:val="0"/>
          <w:sz w:val="28"/>
        </w:rPr>
        <w:t xml:space="preserve">La remisión a </w:t>
      </w:r>
      <w:r>
        <w:rPr>
          <w:rFonts w:ascii="Arial" w:hAnsi="Arial"/>
          <w:b w:val="0"/>
          <w:i/>
          <w:sz w:val="28"/>
        </w:rPr>
        <w:t>«otra vía»</w:t>
      </w:r>
      <w:r>
        <w:rPr>
          <w:rFonts w:ascii="Arial" w:hAnsi="Arial"/>
          <w:b w:val="0"/>
          <w:i w:val="0"/>
          <w:sz w:val="28"/>
        </w:rPr>
        <w:t xml:space="preserve"> es, además, contraria al sistema de la ley. Si la cuantificación del derecho restituido quedara fuera del procedimiento de ejecución, la persona quejosa tendría que promover un nuevo juicio para discutir el cumplimiento de la sentencia que ya ganó, y la responsable dispondría de la posibilidad de fijar unilateralmente cuánto vale la restitución. Ese resultado vacía el artículo 77 y convierte la declaratoria de cumplimiento en un acto de fe, lo que la jurisprudencia transcrita rechaza de manera expresa.</w:t>
      </w:r>
    </w:p>
    <w:p>
      <w:pPr>
        <w:spacing w:line="360" w:lineRule="auto"/>
        <w:jc w:val="both"/>
      </w:pPr>
      <w:r>
        <w:rPr>
          <w:rFonts w:ascii="Arial" w:hAnsi="Arial"/>
          <w:b w:val="0"/>
          <w:i w:val="0"/>
          <w:sz w:val="28"/>
        </w:rPr>
        <w:t>Por último, la falta de cantidad líquida no era un obstáculo, sino la razón de ser del examen. Precisamente porque la sentencia no fijó una cifra, el artículo 193, párrafo cuarto, de la Ley de Amparo facultaba al juzgado para abrir, de oficio o a petición de parte, el incidente destinado a precisar los términos del cumplimiento, y la parte quejosa lo solicitó de manera expresa. Negar ese cauce y, al mismo tiempo, declarar cumplida la ejecutoria sobre una cifra sin verificar constituye un defecto en el cumplimiento que el propio artículo 196 obliga a declarar.</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ejecutoria ordenó recalcular la pensión y pagar diferencias; la responsable fijó por sí misma el nuevo monto y las deducciones fiscales; la parte quejosa objetó oportunamente la insuficiencia de las constancias; y el juzgado declaró el cumplimiento sin examinar la corrección del cálculo, bajo la premisa de que esa cuestión era ajena a la ejecución. La jurisprudencia invocada establece exactamente lo contrario.</w:t>
      </w:r>
    </w:p>
    <w:p>
      <w:pPr>
        <w:spacing w:line="360" w:lineRule="auto"/>
        <w:jc w:val="both"/>
      </w:pPr>
      <w:r>
        <w:rPr>
          <w:rFonts w:ascii="Arial" w:hAnsi="Arial"/>
          <w:b w:val="0"/>
          <w:i w:val="0"/>
          <w:sz w:val="28"/>
        </w:rPr>
        <w:t>Por lo expuesto, se solicita a ese Tribunal Colegiado declarar fundado el presente agravio, revocar el acuerdo recurrido y determinar que la ejecutoria no se encuentra cumplida en su totalidad, en términos del artículo 196 de la Ley de Amparo.</w:t>
      </w:r>
    </w:p>
    <w:p>
      <w:pPr>
        <w:spacing w:line="360" w:lineRule="auto"/>
        <w:jc w:val="both"/>
      </w:pPr>
      <w:r>
        <w:rPr>
          <w:rFonts w:ascii="Arial" w:hAnsi="Arial"/>
          <w:b w:val="0"/>
          <w:i w:val="0"/>
          <w:sz w:val="28"/>
        </w:rPr>
        <w:t xml:space="preserve">En consecuencia, procede ordenar al </w:t>
      </w:r>
      <w:r>
        <w:rPr>
          <w:rFonts w:ascii="Arial" w:hAnsi="Arial"/>
          <w:b/>
          <w:i w:val="0"/>
          <w:sz w:val="28"/>
        </w:rPr>
        <w:t>[JUZGADO DE DISTRITO]</w:t>
      </w:r>
      <w:r>
        <w:rPr>
          <w:rFonts w:ascii="Arial" w:hAnsi="Arial"/>
          <w:b w:val="0"/>
          <w:i w:val="0"/>
          <w:sz w:val="28"/>
        </w:rPr>
        <w:t xml:space="preserve"> que, dentro del procedimiento de ejecución y en su caso mediante el incidente del artículo 193, párrafo cuarto, requiera a la responsable el procedimiento de cálculo del nuevo monto pensionario, las bases consideradas y el fundamento de cada deducción fiscal, lo examine con vista a la parte quejosa y sólo entonces resuelva si hay cumplimiento total, exceso o defecto.</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1212.</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103.</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FERRER MAC-GREGOR, op. cit.</w:t>
      </w:r>
      <w:r>
        <w:rPr>
          <w:rFonts w:ascii="Arial" w:hAnsi="Arial"/>
          <w:i w:val="0"/>
          <w:sz w:val="20"/>
        </w:rPr>
        <w:t>, p. 104.</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38.</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73.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 p. 82.</w:t>
      </w:r>
    </w:p>
    <w:p/>
    <w:p>
      <w:r>
        <w:rPr>
          <w:rFonts w:ascii="Arial" w:hAnsi="Arial"/>
          <w:b/>
          <w:sz w:val="22"/>
        </w:rPr>
        <w:t>BIBLIOGRAFÍA</w:t>
      </w:r>
    </w:p>
    <w:p>
      <w:pPr>
        <w:spacing w:after="60"/>
        <w:ind w:left="360" w:hanging="360"/>
        <w:jc w:val="both"/>
      </w:pP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