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INDIRECTO. APARTADO DE COMPETENCIA TERRITORIAL CONTRA ACTOS DECLARATIVOS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y colócalo en tu demanda de amparo indirecto como apartado de competencia, antes de los conceptos de violación. Primero identifica con precisión el acto reclamado: debe ser la resolución declarativa (la que confirma la negativa de suspensión), no la modificación del permiso ni ningún acto de ejecución; si reclamas también actos con ejecución material, el análisis cambia y debes ajustar el apartado.</w:t>
      </w:r>
    </w:p>
    <w:p>
      <w:pPr>
        <w:spacing w:line="360" w:lineRule="auto"/>
        <w:jc w:val="both"/>
      </w:pPr>
      <w:r>
        <w:rPr>
          <w:rFonts w:ascii="Arial" w:hAnsi="Arial"/>
          <w:b w:val="0"/>
          <w:i w:val="0"/>
          <w:sz w:val="24"/>
        </w:rPr>
        <w:t>Después llena los campos editables, verifica que la fracción del artículo 107 de la Ley de Amparo con que fundas la procedencia sea la correcta para tu acto y conserva el párrafo final de manifestaciones aunque confíes en que el Juzgado no declinará: es tu seguro para el conflicto competencial.</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[JUZGADO DE DISTRITO ANTE EL QUE SE PRESENTA LA DEMANDA]</w:t>
      </w:r>
      <w:r>
        <w:rPr>
          <w:rFonts w:ascii="Arial" w:hAnsi="Arial"/>
          <w:b w:val="0"/>
          <w:i w:val="0"/>
          <w:sz w:val="24"/>
        </w:rPr>
        <w:t>: denominación completa del Juzgado ante el que presentas la demanda.</w:t>
      </w:r>
    </w:p>
    <w:p>
      <w:pPr>
        <w:spacing w:line="360" w:lineRule="auto"/>
        <w:jc w:val="both"/>
      </w:pPr>
      <w:r>
        <w:rPr>
          <w:rFonts w:ascii="Arial" w:hAnsi="Arial"/>
          <w:b/>
          <w:i w:val="0"/>
          <w:sz w:val="24"/>
        </w:rPr>
        <w:t>[CIUDAD DE RESIDENCIA DEL JUZGADO]</w:t>
      </w:r>
      <w:r>
        <w:rPr>
          <w:rFonts w:ascii="Arial" w:hAnsi="Arial"/>
          <w:b w:val="0"/>
          <w:i w:val="0"/>
          <w:sz w:val="24"/>
        </w:rPr>
        <w:t>: ciudad sede de ese Juzgado.</w:t>
      </w:r>
    </w:p>
    <w:p>
      <w:pPr>
        <w:spacing w:line="360" w:lineRule="auto"/>
        <w:jc w:val="both"/>
      </w:pPr>
      <w:r>
        <w:rPr>
          <w:rFonts w:ascii="Arial" w:hAnsi="Arial"/>
          <w:b/>
          <w:i w:val="0"/>
          <w:sz w:val="24"/>
        </w:rPr>
        <w:t>[NOMBRE DE LA PERSONA QUEJOSA]</w:t>
      </w:r>
      <w:r>
        <w:rPr>
          <w:rFonts w:ascii="Arial" w:hAnsi="Arial"/>
          <w:b w:val="0"/>
          <w:i w:val="0"/>
          <w:sz w:val="24"/>
        </w:rPr>
        <w:t>: nombre de quien promueve el amparo.</w:t>
      </w:r>
    </w:p>
    <w:p>
      <w:pPr>
        <w:spacing w:line="360" w:lineRule="auto"/>
        <w:jc w:val="both"/>
      </w:pPr>
      <w:r>
        <w:rPr>
          <w:rFonts w:ascii="Arial" w:hAnsi="Arial"/>
          <w:b/>
          <w:i w:val="0"/>
          <w:sz w:val="24"/>
        </w:rPr>
        <w:t>[FECHA DE LA RESOLUCIÓN RECLAMADA]</w:t>
      </w:r>
      <w:r>
        <w:rPr>
          <w:rFonts w:ascii="Arial" w:hAnsi="Arial"/>
          <w:b w:val="0"/>
          <w:i w:val="0"/>
          <w:sz w:val="24"/>
        </w:rPr>
        <w:t>: fecha de la resolución del Pleno del Tribunal Estatal que confirmó la negativa de suspensión.</w:t>
      </w:r>
    </w:p>
    <w:p>
      <w:pPr>
        <w:spacing w:line="360" w:lineRule="auto"/>
        <w:jc w:val="both"/>
      </w:pPr>
      <w:r>
        <w:rPr>
          <w:rFonts w:ascii="Arial" w:hAnsi="Arial"/>
          <w:b/>
          <w:i w:val="0"/>
          <w:sz w:val="24"/>
        </w:rPr>
        <w:t>[NÚMERO DEL RECURSO O TOCA LOCAL]</w:t>
      </w:r>
      <w:r>
        <w:rPr>
          <w:rFonts w:ascii="Arial" w:hAnsi="Arial"/>
          <w:b w:val="0"/>
          <w:i w:val="0"/>
          <w:sz w:val="24"/>
        </w:rPr>
        <w:t>: número del recurso o toca en que se dictó la resolución reclamada.</w:t>
      </w:r>
    </w:p>
    <w:p>
      <w:pPr>
        <w:spacing w:line="360" w:lineRule="auto"/>
        <w:jc w:val="both"/>
      </w:pPr>
      <w:r>
        <w:rPr>
          <w:rFonts w:ascii="Arial" w:hAnsi="Arial"/>
          <w:b/>
          <w:i w:val="0"/>
          <w:sz w:val="24"/>
        </w:rPr>
        <w:t>[FECHA DE NOTIFICACIÓN DE LA RESOLUCIÓN RECLAMADA]</w:t>
      </w:r>
      <w:r>
        <w:rPr>
          <w:rFonts w:ascii="Arial" w:hAnsi="Arial"/>
          <w:b w:val="0"/>
          <w:i w:val="0"/>
          <w:sz w:val="24"/>
        </w:rPr>
        <w:t>: fecha en que te notificaron esa resolución.</w:t>
      </w:r>
    </w:p>
    <w:p>
      <w:pPr>
        <w:spacing w:line="360" w:lineRule="auto"/>
        <w:jc w:val="both"/>
      </w:pPr>
      <w:r>
        <w:rPr>
          <w:rFonts w:ascii="Arial" w:hAnsi="Arial"/>
          <w:b/>
          <w:i w:val="0"/>
          <w:sz w:val="24"/>
        </w:rPr>
        <w:t>[NÚMERO DEL JUICIO DE NULIDAD LOCAL]</w:t>
      </w:r>
      <w:r>
        <w:rPr>
          <w:rFonts w:ascii="Arial" w:hAnsi="Arial"/>
          <w:b w:val="0"/>
          <w:i w:val="0"/>
          <w:sz w:val="24"/>
        </w:rPr>
        <w:t>: expediente del juicio de nulidad ante el Tribunal Estatal de Justicia Administrativa.</w:t>
      </w:r>
    </w:p>
    <w:p>
      <w:pPr>
        <w:spacing w:line="360" w:lineRule="auto"/>
        <w:jc w:val="both"/>
      </w:pPr>
      <w:r>
        <w:rPr>
          <w:rFonts w:ascii="Arial" w:hAnsi="Arial"/>
          <w:b/>
          <w:i w:val="0"/>
          <w:sz w:val="24"/>
        </w:rPr>
        <w:t>[ACTO IMPUGNADO EN EL JUICIO DE NULIDAD]</w:t>
      </w:r>
      <w:r>
        <w:rPr>
          <w:rFonts w:ascii="Arial" w:hAnsi="Arial"/>
          <w:b w:val="0"/>
          <w:i w:val="0"/>
          <w:sz w:val="24"/>
        </w:rPr>
        <w:t>: el oficio o resolución que modificó las condiciones del permiso.</w:t>
      </w:r>
    </w:p>
    <w:p>
      <w:pPr>
        <w:spacing w:line="360" w:lineRule="auto"/>
        <w:jc w:val="both"/>
      </w:pPr>
      <w:r>
        <w:rPr>
          <w:rFonts w:ascii="Arial" w:hAnsi="Arial"/>
          <w:b/>
          <w:i w:val="0"/>
          <w:sz w:val="24"/>
        </w:rPr>
        <w:t>[AUTORIDAD DEMANDADA EN EL JUICIO DE NULIDAD]</w:t>
      </w:r>
      <w:r>
        <w:rPr>
          <w:rFonts w:ascii="Arial" w:hAnsi="Arial"/>
          <w:b w:val="0"/>
          <w:i w:val="0"/>
          <w:sz w:val="24"/>
        </w:rPr>
        <w:t>: la autoridad de transporte que emitió ese acto.</w:t>
      </w:r>
    </w:p>
    <w:p>
      <w:pPr>
        <w:spacing w:line="360" w:lineRule="auto"/>
        <w:jc w:val="both"/>
      </w:pPr>
      <w:r>
        <w:rPr>
          <w:rFonts w:ascii="Arial" w:hAnsi="Arial"/>
          <w:b/>
          <w:i w:val="0"/>
          <w:sz w:val="24"/>
        </w:rPr>
        <w:t>[NÚMERO DE PERMISO O RUTA]</w:t>
      </w:r>
      <w:r>
        <w:rPr>
          <w:rFonts w:ascii="Arial" w:hAnsi="Arial"/>
          <w:b w:val="0"/>
          <w:i w:val="0"/>
          <w:sz w:val="24"/>
        </w:rPr>
        <w:t>: identificación del permiso o de la ruta de taxi.</w:t>
      </w:r>
    </w:p>
    <w:p>
      <w:pPr>
        <w:spacing w:line="360" w:lineRule="auto"/>
        <w:jc w:val="both"/>
      </w:pPr>
      <w:r>
        <w:rPr>
          <w:rFonts w:ascii="Arial" w:hAnsi="Arial"/>
          <w:b/>
          <w:i w:val="0"/>
          <w:sz w:val="24"/>
        </w:rPr>
        <w:t>[MUNICIPIO DONDE SE PRESTA EL SERVICIO]</w:t>
      </w:r>
      <w:r>
        <w:rPr>
          <w:rFonts w:ascii="Arial" w:hAnsi="Arial"/>
          <w:b w:val="0"/>
          <w:i w:val="0"/>
          <w:sz w:val="24"/>
        </w:rPr>
        <w:t>: municipio donde se explota el permiso.</w:t>
      </w:r>
    </w:p>
    <w:p>
      <w:pPr>
        <w:spacing w:line="360" w:lineRule="auto"/>
        <w:jc w:val="both"/>
      </w:pPr>
      <w:r>
        <w:rPr>
          <w:rFonts w:ascii="Arial" w:hAnsi="Arial"/>
          <w:b/>
          <w:i w:val="0"/>
          <w:sz w:val="24"/>
        </w:rPr>
        <w:t>[FRACCIÓN DEL ARTÍCULO 107 DE LA LEY DE AMPARO QUE FUNDA LA PROCEDENCIA]</w:t>
      </w:r>
      <w:r>
        <w:rPr>
          <w:rFonts w:ascii="Arial" w:hAnsi="Arial"/>
          <w:b w:val="0"/>
          <w:i w:val="0"/>
          <w:sz w:val="24"/>
        </w:rPr>
        <w:t>: la fracción que sustenta la vía indirecta contra tu acto reclamado; verifícala.</w:t>
      </w:r>
    </w:p>
    <w:p>
      <w:pPr>
        <w:spacing w:line="360" w:lineRule="auto"/>
        <w:jc w:val="both"/>
      </w:pPr>
      <w:r>
        <w:rPr>
          <w:rFonts w:ascii="Arial" w:hAnsi="Arial"/>
          <w:b/>
          <w:i w:val="0"/>
          <w:sz w:val="24"/>
        </w:rPr>
        <w:t>[FECHA DE PRESENTACIÓN DE LA DEMANDA DE AMPARO]</w:t>
      </w:r>
      <w:r>
        <w:rPr>
          <w:rFonts w:ascii="Arial" w:hAnsi="Arial"/>
          <w:b w:val="0"/>
          <w:i w:val="0"/>
          <w:sz w:val="24"/>
        </w:rPr>
        <w:t>: fecha del sello de recepción de la demanda.</w:t>
      </w:r>
    </w:p>
    <w:p>
      <w:pPr>
        <w:spacing w:line="360" w:lineRule="auto"/>
        <w:jc w:val="both"/>
      </w:pPr>
      <w:r>
        <w:rPr>
          <w:rFonts w:ascii="Arial" w:hAnsi="Arial"/>
          <w:b/>
          <w:i w:val="0"/>
          <w:sz w:val="24"/>
        </w:rPr>
        <w:t>[ÓRGANO AL QUE SE PRETENDE DECLINAR]</w:t>
      </w:r>
      <w:r>
        <w:rPr>
          <w:rFonts w:ascii="Arial" w:hAnsi="Arial"/>
          <w:b w:val="0"/>
          <w:i w:val="0"/>
          <w:sz w:val="24"/>
        </w:rPr>
        <w:t>: el Juzgado al que el órgano de origen remitiría la demanda si declinara; puedes dejarlo genérico si no lo conoces.</w:t>
      </w:r>
    </w:p>
    <w:p/>
    <w:p>
      <w:pPr>
        <w:spacing w:line="360" w:lineRule="auto"/>
        <w:jc w:val="both"/>
      </w:pPr>
      <w:r>
        <w:rPr>
          <w:rFonts w:ascii="Arial" w:hAnsi="Arial"/>
          <w:b/>
          <w:sz w:val="28"/>
        </w:rPr>
        <w:t>APARTADO DE COMPETENCIA POR TERRITORIO. Competencia del Juzgado de Distrito ante el que se presenta la demanda para conocer del amparo indirecto promovido contra la resolución del Pleno del Tribunal Estatal de Justicia Administrativa de Baja California que confirmó la negativa de la suspensión definitiva en el juicio de nulidad, por tratarse de un acto declarativo que no requiere ejecución material, en términos del artículo 37, párrafo tercero, de la Ley de Amparo.</w:t>
      </w:r>
    </w:p>
    <w:p>
      <w:pPr>
        <w:spacing w:line="360" w:lineRule="auto"/>
        <w:jc w:val="both"/>
      </w:pPr>
      <w:r>
        <w:rPr>
          <w:rFonts w:ascii="Arial" w:hAnsi="Arial"/>
          <w:b/>
          <w:sz w:val="28"/>
        </w:rPr>
        <w:t>I. Síntesis del apartado.</w:t>
      </w:r>
    </w:p>
    <w:p>
      <w:pPr>
        <w:spacing w:line="360" w:lineRule="auto"/>
        <w:jc w:val="both"/>
      </w:pPr>
      <w:r>
        <w:rPr>
          <w:rFonts w:ascii="Arial" w:hAnsi="Arial"/>
          <w:b w:val="0"/>
          <w:i w:val="0"/>
          <w:sz w:val="28"/>
        </w:rPr>
        <w:t xml:space="preserve">En este apartado se justifica que este </w:t>
      </w:r>
      <w:r>
        <w:rPr>
          <w:rFonts w:ascii="Arial" w:hAnsi="Arial"/>
          <w:b/>
          <w:i w:val="0"/>
          <w:sz w:val="28"/>
        </w:rPr>
        <w:t>[JUZGADO DE DISTRITO ANTE EL QUE SE PRESENTA LA DEMANDA]</w:t>
      </w:r>
      <w:r>
        <w:rPr>
          <w:rFonts w:ascii="Arial" w:hAnsi="Arial"/>
          <w:b w:val="0"/>
          <w:i w:val="0"/>
          <w:sz w:val="28"/>
        </w:rPr>
        <w:t xml:space="preserve"> es competente por razón de territorio para conocer del presente juicio de amparo indirecto, promovido por </w:t>
      </w:r>
      <w:r>
        <w:rPr>
          <w:rFonts w:ascii="Arial" w:hAnsi="Arial"/>
          <w:b/>
          <w:i w:val="0"/>
          <w:sz w:val="28"/>
        </w:rPr>
        <w:t>[NOMBRE DE LA PERSONA QUEJOSA]</w:t>
      </w:r>
      <w:r>
        <w:rPr>
          <w:rFonts w:ascii="Arial" w:hAnsi="Arial"/>
          <w:b w:val="0"/>
          <w:i w:val="0"/>
          <w:sz w:val="28"/>
        </w:rPr>
        <w:t xml:space="preserve"> contra la resolución de </w:t>
      </w:r>
      <w:r>
        <w:rPr>
          <w:rFonts w:ascii="Arial" w:hAnsi="Arial"/>
          <w:b/>
          <w:i w:val="0"/>
          <w:sz w:val="28"/>
        </w:rPr>
        <w:t>[FECHA DE LA RESOLUCIÓN RECLAMADA]</w:t>
      </w:r>
      <w:r>
        <w:rPr>
          <w:rFonts w:ascii="Arial" w:hAnsi="Arial"/>
          <w:b w:val="0"/>
          <w:i w:val="0"/>
          <w:sz w:val="28"/>
        </w:rPr>
        <w:t xml:space="preserve">, dictada por el Pleno del Tribunal Estatal de Justicia Administrativa de Baja California en el </w:t>
      </w:r>
      <w:r>
        <w:rPr>
          <w:rFonts w:ascii="Arial" w:hAnsi="Arial"/>
          <w:b/>
          <w:i w:val="0"/>
          <w:sz w:val="28"/>
        </w:rPr>
        <w:t>[NÚMERO DEL RECURSO O TOCA LOCAL]</w:t>
      </w:r>
      <w:r>
        <w:rPr>
          <w:rFonts w:ascii="Arial" w:hAnsi="Arial"/>
          <w:b w:val="0"/>
          <w:i w:val="0"/>
          <w:sz w:val="28"/>
        </w:rPr>
        <w:t xml:space="preserve">, que confirmó el acuerdo que negó la suspensión definitiva en el juicio de nulidad </w:t>
      </w:r>
      <w:r>
        <w:rPr>
          <w:rFonts w:ascii="Arial" w:hAnsi="Arial"/>
          <w:b/>
          <w:i w:val="0"/>
          <w:sz w:val="28"/>
        </w:rPr>
        <w:t>[NÚMERO DEL JUICIO DE NULIDAD LOCAL]</w:t>
      </w:r>
      <w:r>
        <w:rPr>
          <w:rFonts w:ascii="Arial" w:hAnsi="Arial"/>
          <w:b w:val="0"/>
          <w:i w:val="0"/>
          <w:sz w:val="28"/>
        </w:rPr>
        <w:t>.</w:t>
      </w:r>
    </w:p>
    <w:p>
      <w:pPr>
        <w:spacing w:line="360" w:lineRule="auto"/>
        <w:jc w:val="both"/>
      </w:pPr>
      <w:r>
        <w:rPr>
          <w:rFonts w:ascii="Arial" w:hAnsi="Arial"/>
          <w:b w:val="0"/>
          <w:i w:val="0"/>
          <w:sz w:val="28"/>
        </w:rPr>
        <w:t>La demostración descansa en una premisa normativa precisa. El artículo 37 de la Ley de Amparo contiene tres reglas de competencia territorial y la tercera, prevista en su párrafo final, atribuye el conocimiento del juicio al órgano en cuya jurisdicción se presentó la demanda cuando el acto reclamado no requiere ejecución material. La resolución que confirma una negativa de suspensión es un acto de naturaleza declarativa: no ordena hacer ni deshacer cosa alguna, sólo mantiene un estado jurídico preexistente dentro de un incidente.</w:t>
      </w:r>
    </w:p>
    <w:p>
      <w:pPr>
        <w:spacing w:line="360" w:lineRule="auto"/>
        <w:jc w:val="both"/>
      </w:pPr>
      <w:r>
        <w:rPr>
          <w:rFonts w:ascii="Arial" w:hAnsi="Arial"/>
          <w:b w:val="0"/>
          <w:i w:val="0"/>
          <w:sz w:val="28"/>
        </w:rPr>
        <w:t>Así lo fijó, por jurisprudencia obligatoria, el Pleno Regional en Materias Administrativa y Civil de la Región Centro-Norte, con residencia en la Ciudad de México, al resolver una contradicción de criterios surgida precisamente entre Tribunales Colegiados del Décimo Quinto Circuito sobre este mismo acto reclamado.</w:t>
      </w:r>
    </w:p>
    <w:p>
      <w:pPr>
        <w:spacing w:line="360" w:lineRule="auto"/>
        <w:jc w:val="both"/>
      </w:pPr>
      <w:r>
        <w:rPr>
          <w:rFonts w:ascii="Arial" w:hAnsi="Arial"/>
          <w:b w:val="0"/>
          <w:i w:val="0"/>
          <w:sz w:val="28"/>
        </w:rPr>
        <w:t>De ahí que la presentación de la demanda ante este órgano fije de manera definitiva su competencia, sin que el lugar donde se presta el servicio de transporte ni los efectos pretendidos con la suspensión en el juicio de nulidad puedan desplazarla; y, para el caso de que se considere lo contrario, desde ahora se formulan las manifestaciones conducentes.</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resolución de </w:t>
      </w:r>
      <w:r>
        <w:rPr>
          <w:rFonts w:ascii="Arial" w:hAnsi="Arial"/>
          <w:b/>
          <w:i w:val="0"/>
          <w:sz w:val="28"/>
        </w:rPr>
        <w:t>[FECHA DE LA RESOLUCIÓN RECLAMADA]</w:t>
      </w:r>
      <w:r>
        <w:rPr>
          <w:rFonts w:ascii="Arial" w:hAnsi="Arial"/>
          <w:b w:val="0"/>
          <w:i w:val="0"/>
          <w:sz w:val="28"/>
        </w:rPr>
        <w:t xml:space="preserve">, dictada por el Pleno del Tribunal Estatal de Justicia Administrativa de Baja California dentro del </w:t>
      </w:r>
      <w:r>
        <w:rPr>
          <w:rFonts w:ascii="Arial" w:hAnsi="Arial"/>
          <w:b/>
          <w:i w:val="0"/>
          <w:sz w:val="28"/>
        </w:rPr>
        <w:t>[NÚMERO DEL RECURSO O TOCA LOCAL]</w:t>
      </w:r>
      <w:r>
        <w:rPr>
          <w:rFonts w:ascii="Arial" w:hAnsi="Arial"/>
          <w:b w:val="0"/>
          <w:i w:val="0"/>
          <w:sz w:val="28"/>
        </w:rPr>
        <w:t xml:space="preserve">, notificada a la persona quejosa el </w:t>
      </w:r>
      <w:r>
        <w:rPr>
          <w:rFonts w:ascii="Arial" w:hAnsi="Arial"/>
          <w:b/>
          <w:i w:val="0"/>
          <w:sz w:val="28"/>
        </w:rPr>
        <w:t>[FECHA DE NOTIFICACIÓN DE LA RESOLUCIÓN RECLAMADA]</w:t>
      </w:r>
      <w:r>
        <w:rPr>
          <w:rFonts w:ascii="Arial" w:hAnsi="Arial"/>
          <w:b w:val="0"/>
          <w:i w:val="0"/>
          <w:sz w:val="28"/>
        </w:rPr>
        <w:t xml:space="preserve">, mediante la cual se confirmó el acuerdo que negó la suspensión definitiva solicitada en el juicio de nulidad </w:t>
      </w:r>
      <w:r>
        <w:rPr>
          <w:rFonts w:ascii="Arial" w:hAnsi="Arial"/>
          <w:b/>
          <w:i w:val="0"/>
          <w:sz w:val="28"/>
        </w:rPr>
        <w:t>[NÚMERO DEL JUICIO DE NULIDAD LOCAL]</w:t>
      </w:r>
      <w:r>
        <w:rPr>
          <w:rFonts w:ascii="Arial" w:hAnsi="Arial"/>
          <w:b w:val="0"/>
          <w:i w:val="0"/>
          <w:sz w:val="28"/>
        </w:rPr>
        <w:t>.</w:t>
      </w:r>
    </w:p>
    <w:p>
      <w:pPr>
        <w:spacing w:line="360" w:lineRule="auto"/>
        <w:jc w:val="both"/>
      </w:pPr>
      <w:r>
        <w:rPr>
          <w:rFonts w:ascii="Arial" w:hAnsi="Arial"/>
          <w:b w:val="0"/>
          <w:i w:val="0"/>
          <w:sz w:val="28"/>
        </w:rPr>
        <w:t xml:space="preserve">Ese juicio de nulidad se promovió contra </w:t>
      </w:r>
      <w:r>
        <w:rPr>
          <w:rFonts w:ascii="Arial" w:hAnsi="Arial"/>
          <w:b/>
          <w:i w:val="0"/>
          <w:sz w:val="28"/>
        </w:rPr>
        <w:t>[ACTO IMPUGNADO EN EL JUICIO DE NULIDAD]</w:t>
      </w:r>
      <w:r>
        <w:rPr>
          <w:rFonts w:ascii="Arial" w:hAnsi="Arial"/>
          <w:b w:val="0"/>
          <w:i w:val="0"/>
          <w:sz w:val="28"/>
        </w:rPr>
        <w:t xml:space="preserve">, emitido por </w:t>
      </w:r>
      <w:r>
        <w:rPr>
          <w:rFonts w:ascii="Arial" w:hAnsi="Arial"/>
          <w:b/>
          <w:i w:val="0"/>
          <w:sz w:val="28"/>
        </w:rPr>
        <w:t>[AUTORIDAD DEMANDADA EN EL JUICIO DE NULIDAD]</w:t>
      </w:r>
      <w:r>
        <w:rPr>
          <w:rFonts w:ascii="Arial" w:hAnsi="Arial"/>
          <w:b w:val="0"/>
          <w:i w:val="0"/>
          <w:sz w:val="28"/>
        </w:rPr>
        <w:t xml:space="preserve">, por el que se modificaron las condiciones del permiso </w:t>
      </w:r>
      <w:r>
        <w:rPr>
          <w:rFonts w:ascii="Arial" w:hAnsi="Arial"/>
          <w:b/>
          <w:i w:val="0"/>
          <w:sz w:val="28"/>
        </w:rPr>
        <w:t>[NÚMERO DE PERMISO O RUTA]</w:t>
      </w:r>
      <w:r>
        <w:rPr>
          <w:rFonts w:ascii="Arial" w:hAnsi="Arial"/>
          <w:b w:val="0"/>
          <w:i w:val="0"/>
          <w:sz w:val="28"/>
        </w:rPr>
        <w:t xml:space="preserve"> para prestar el servicio de transporte público en la modalidad de taxi de ruta en </w:t>
      </w:r>
      <w:r>
        <w:rPr>
          <w:rFonts w:ascii="Arial" w:hAnsi="Arial"/>
          <w:b/>
          <w:i w:val="0"/>
          <w:sz w:val="28"/>
        </w:rPr>
        <w:t>[MUNICIPIO DONDE SE PRESTA EL SERVICIO]</w:t>
      </w:r>
      <w:r>
        <w:rPr>
          <w:rFonts w:ascii="Arial" w:hAnsi="Arial"/>
          <w:b w:val="0"/>
          <w:i w:val="0"/>
          <w:sz w:val="28"/>
        </w:rPr>
        <w:t>. Conviene tener presente desde ahora esta distinción, porque toda la cuestión competencial gira en torno a ella: una cosa es el acto impugnado en la sede contenciosa local y otra, muy distinta, el acto que aquí se reclama.</w:t>
      </w:r>
    </w:p>
    <w:p>
      <w:pPr>
        <w:spacing w:line="360" w:lineRule="auto"/>
        <w:jc w:val="both"/>
      </w:pPr>
      <w:r>
        <w:rPr>
          <w:rFonts w:ascii="Arial" w:hAnsi="Arial"/>
          <w:b w:val="0"/>
          <w:i w:val="0"/>
          <w:sz w:val="28"/>
        </w:rPr>
        <w:t xml:space="preserve">La procedencia de la vía indirecta se sustenta en el artículo 107, </w:t>
      </w:r>
      <w:r>
        <w:rPr>
          <w:rFonts w:ascii="Arial" w:hAnsi="Arial"/>
          <w:b/>
          <w:i w:val="0"/>
          <w:sz w:val="28"/>
        </w:rPr>
        <w:t>[FRACCIÓN DEL ARTÍCULO 107 DE LA LEY DE AMPARO QUE FUNDA LA PROCEDENCIA]</w:t>
      </w:r>
      <w:r>
        <w:rPr>
          <w:rFonts w:ascii="Arial" w:hAnsi="Arial"/>
          <w:b w:val="0"/>
          <w:i w:val="0"/>
          <w:sz w:val="28"/>
        </w:rPr>
        <w:t>, de la Ley de Amparo, y se desarrolla en el capítulo correspondiente de esta demanda. En este apartado interesa únicamente el presupuesto de la competencia territorial, que se rige por el artículo 107, fracción VII, de la Constitución Política de los Estados Unidos Mexicanos, por el artículo 37 de la Ley de Amparo, que lo desarrolla en tres hipótesis, y por el artículo 48 del mismo ordenamiento, que regula la remisión de plano por incompetencia y sus límites.</w:t>
      </w:r>
    </w:p>
    <w:p>
      <w:pPr>
        <w:spacing w:line="360" w:lineRule="auto"/>
        <w:jc w:val="both"/>
      </w:pPr>
      <w:r>
        <w:rPr>
          <w:rFonts w:ascii="Arial" w:hAnsi="Arial"/>
          <w:b w:val="0"/>
          <w:i w:val="0"/>
          <w:sz w:val="28"/>
        </w:rPr>
        <w:t>El interés de la persona quejosa en que este punto quede resuelto desde el auto inicial es evidente. Una declinatoria injustificada traslada el expediente a otro distrito, abre un conflicto competencial y posterga el pronunciamiento sobre la suspensión, pues el artículo 48, párrafo primero, de la Ley de Amparo ordena remitir la demanda sin decidir sobre la admisión ni sobre la medida cautelar. Mientras tanto, la modificación del permiso sigue surtiendo efectos y el servicio de transporte del que depende el sustento de la persona quejosa continúa comprometido.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La competencia del órgano no es un dato de logística judicial, sino un componente del debido proceso: la doctrina explica que el derecho a un juez natural implica que el tribunal esté establecido previamente por la ley y dotado de competencia para conocer del asunto.</w:t>
      </w:r>
      <w:r>
        <w:rPr>
          <w:rFonts w:ascii="Arial" w:hAnsi="Arial"/>
          <w:vertAlign w:val="superscript"/>
        </w:rPr>
        <w:t>1</w:t>
      </w:r>
      <w:r>
        <w:rPr>
          <w:rFonts w:ascii="Arial" w:hAnsi="Arial"/>
          <w:b w:val="0"/>
          <w:i w:val="0"/>
          <w:sz w:val="28"/>
        </w:rPr>
        <w:t xml:space="preserve"> Ese derecho se conecta con la tutela judicial efectiva del artículo 17 constitucional; por eso las reglas que asignan territorialmente los juicios de amparo se aplican conforme a su texto y a la jurisprudencia que las interpreta, no según la conveniencia del órgano que recibe la demanda.</w:t>
      </w:r>
    </w:p>
    <w:p>
      <w:pPr>
        <w:spacing w:line="360" w:lineRule="auto"/>
        <w:jc w:val="both"/>
      </w:pPr>
      <w:r>
        <w:rPr>
          <w:rFonts w:ascii="Arial" w:hAnsi="Arial"/>
          <w:b w:val="0"/>
          <w:i w:val="0"/>
          <w:sz w:val="28"/>
        </w:rPr>
        <w:t>La regla constitucional está en el artículo 107, fracción VII, de la Constitución Política de los Estados Unidos Mexicanos, conforme al cual el amparo contra actos en juicio, fuera de juicio o después de concluido se interpondrá ante el Juez de Distrito bajo cuya jurisdicción se encuentre el lugar en que el acto reclamado se ejecute o trate de ejecutarse. El precepto parte, pues, de una idea de ejecución; pero no todo acto de autoridad se ejecuta, y el legislador ordinario tuvo que hacerse cargo de esa realidad.</w:t>
      </w:r>
    </w:p>
    <w:p>
      <w:pPr>
        <w:spacing w:line="360" w:lineRule="auto"/>
        <w:jc w:val="both"/>
      </w:pPr>
      <w:r>
        <w:rPr>
          <w:rFonts w:ascii="Arial" w:hAnsi="Arial"/>
          <w:b w:val="0"/>
          <w:i w:val="0"/>
          <w:sz w:val="28"/>
        </w:rPr>
        <w:t xml:space="preserve">El artículo 37 de la Ley de Amparo desarrolla la regla en tres hipótesis. En el párrafo primero, es competente la jueza o el juez que tenga jurisdicción en el lugar donde el acto reclamado deba tener ejecución, trate de ejecutarse, se esté ejecutando o se haya ejecutado. En el segundo, si el acto puede tener ejecución en más de un distrito o comenzó a ejecutarse en uno y sigue en otro, lo es aquel ante quien se presente la demanda. Y en el tercero se dispone: </w:t>
      </w:r>
      <w:r>
        <w:rPr>
          <w:rFonts w:ascii="Arial" w:hAnsi="Arial"/>
          <w:b w:val="0"/>
          <w:i/>
          <w:sz w:val="28"/>
        </w:rPr>
        <w:t>«Cuando el acto reclamado no requiera ejecución material es competente el juez o jueza de distrito en cuya jurisdicción se haya presentado la demanda.»</w:t>
      </w:r>
    </w:p>
    <w:p>
      <w:pPr>
        <w:spacing w:line="360" w:lineRule="auto"/>
        <w:jc w:val="both"/>
      </w:pPr>
      <w:r>
        <w:rPr>
          <w:rFonts w:ascii="Arial" w:hAnsi="Arial"/>
          <w:b w:val="0"/>
          <w:i w:val="0"/>
          <w:sz w:val="28"/>
        </w:rPr>
        <w:t>La tercera regla no es residual ni excepcional; es la que gobierna a toda una categoría de actos: los que se agotan en una declaración. La doctrina procesal constitucional describe como de tipo declarativo el pronunciamiento que se concreta a resolver la cuestión que se somete al órgano, sin más.</w:t>
      </w:r>
      <w:r>
        <w:rPr>
          <w:rFonts w:ascii="Arial" w:hAnsi="Arial"/>
          <w:vertAlign w:val="superscript"/>
        </w:rPr>
        <w:t>2</w:t>
      </w:r>
      <w:r>
        <w:rPr>
          <w:rFonts w:ascii="Arial" w:hAnsi="Arial"/>
          <w:b w:val="0"/>
          <w:i w:val="0"/>
          <w:sz w:val="28"/>
        </w:rPr>
        <w:t xml:space="preserve"> Un acto así no constituye una situación nueva ni ordena conducta alguna; cuando lo reclamado es un acto de esa naturaleza no hay lugar de ejecución que localizar, y la ley resuelve la cuestión con el único punto de conexión disponible: el sitio donde la persona quejosa presentó su demanda.</w:t>
      </w:r>
    </w:p>
    <w:p>
      <w:pPr>
        <w:spacing w:line="360" w:lineRule="auto"/>
        <w:jc w:val="both"/>
      </w:pPr>
      <w:r>
        <w:rPr>
          <w:rFonts w:ascii="Arial" w:hAnsi="Arial"/>
          <w:b w:val="0"/>
          <w:i w:val="0"/>
          <w:sz w:val="28"/>
        </w:rPr>
        <w:t>Es indispensable, además, fijar sobre qué acto se hace el análisis. En el amparo, en sus dos modalidades, el acto y la autoridad contra los que se promueve son, como explica la doctrina, un indicador de procedencia y de diferenciación de la vía.</w:t>
      </w:r>
      <w:r>
        <w:rPr>
          <w:rFonts w:ascii="Arial" w:hAnsi="Arial"/>
          <w:vertAlign w:val="superscript"/>
        </w:rPr>
        <w:t>3</w:t>
      </w:r>
      <w:r>
        <w:rPr>
          <w:rFonts w:ascii="Arial" w:hAnsi="Arial"/>
          <w:b w:val="0"/>
          <w:i w:val="0"/>
          <w:sz w:val="28"/>
        </w:rPr>
        <w:t xml:space="preserve"> La misma lógica rige la competencia: lo que se examina es el acto reclamado en el amparo, con sus alcances propios, y no el acto de origen que se combate en el juicio del que el reclamado deriva. Confundirlos equivale a resolver la competencia de un juicio con los datos de otro.</w:t>
      </w:r>
    </w:p>
    <w:p>
      <w:pPr>
        <w:spacing w:line="360" w:lineRule="auto"/>
        <w:jc w:val="both"/>
      </w:pPr>
      <w:r>
        <w:rPr>
          <w:rFonts w:ascii="Arial" w:hAnsi="Arial"/>
          <w:b w:val="0"/>
          <w:i w:val="0"/>
          <w:sz w:val="28"/>
        </w:rPr>
        <w:t>Sobre esas bases, el Pleno Regional en Materias Administrativa y Civil de la Región Centro-Norte, con residencia en la Ciudad de México, resolvió la contradicción de criterios 39/2026, suscitada entre Tribunales Colegiados del Décimo Quinto Circuito que discrepaban sobre el Juzgado de Distrito competente para conocer del amparo contra la resolución que aquí se reclama. Su criterio quedó recogido en la jurisprudencia cuyo rubro se transcribe a continuación.</w:t>
      </w:r>
    </w:p>
    <w:p>
      <w:pPr>
        <w:spacing w:line="360" w:lineRule="auto"/>
        <w:jc w:val="both"/>
      </w:pPr>
      <w:r>
        <w:rPr>
          <w:rFonts w:ascii="Arial" w:hAnsi="Arial"/>
          <w:b w:val="0"/>
          <w:i/>
          <w:sz w:val="28"/>
        </w:rPr>
        <w:t>«COMPETENCIA POR TERRITORIO PARA CONOCER DEL AMPARO INDIRECTO CONTRA LA RESOLUCIÓN DEL TRIBUNAL ESTATAL DE JUSTICIA ADMINISTRATIVA DE BAJA CALIFORNIA QUE CONFIRMA EL AUTO QUE NIEGA LA SUSPENSIÓN DEFINITIVA EN EL JUICIO DE NULIDAD CONTRA LA MODIFICACIÓN DE LAS CONDICIONES DEL PERMISO PARA PRESTAR EL SERVICIO DE TRANSPORTE PÚBLICO EN LA MODALIDAD DE TAXI DE RUTA. CORRESPONDE AL JUZGADO DE DISTRITO ANTE EL QUE SE PRESENTE LA DEMANDA.»</w:t>
      </w:r>
    </w:p>
    <w:p>
      <w:pPr>
        <w:spacing w:line="360" w:lineRule="auto"/>
        <w:jc w:val="both"/>
      </w:pPr>
      <w:r>
        <w:rPr>
          <w:rFonts w:ascii="Arial" w:hAnsi="Arial"/>
          <w:b w:val="0"/>
          <w:i w:val="0"/>
          <w:sz w:val="28"/>
        </w:rPr>
        <w:t>Se trata de la jurisprudencia PR.A.C.CN. J/52 A (12a.), de los Plenos Regionales, sustentada por el Pleno Regional en Materias Administrativa y Civil de la Región Centro-Norte, con residencia en la Ciudad de México, publicada en el Semanario Judicial de la Federación el viernes 14 de agosto de 2026 y, por ende, de aplicación obligatoria a partir del lunes 17 de agosto de 2026, con registro digital 2032485. Su criterio jurídico es el siguiente:</w:t>
      </w:r>
    </w:p>
    <w:p>
      <w:pPr>
        <w:spacing w:line="360" w:lineRule="auto"/>
        <w:jc w:val="both"/>
      </w:pPr>
      <w:r>
        <w:rPr>
          <w:rFonts w:ascii="Arial" w:hAnsi="Arial"/>
          <w:b w:val="0"/>
          <w:i/>
          <w:sz w:val="28"/>
        </w:rPr>
        <w:t>«La competencia para conocer del amparo indirecto contra la resolución que confirma el auto que niega la suspensión definitiva en un juicio de nulidad en el que se impugna la modificación de las condiciones del permiso para prestar el servicio de transporte público en la modalidad de taxi de ruta, corresponde al Juzgado de Distrito ante el que se presente la demanda, al ser un acto declarativo que no requiere de ejecución material.»</w:t>
      </w:r>
    </w:p>
    <w:p>
      <w:pPr>
        <w:spacing w:line="360" w:lineRule="auto"/>
        <w:jc w:val="both"/>
      </w:pPr>
      <w:r>
        <w:rPr>
          <w:rFonts w:ascii="Arial" w:hAnsi="Arial"/>
          <w:b w:val="0"/>
          <w:i w:val="0"/>
          <w:sz w:val="28"/>
        </w:rPr>
        <w:t>En la justificación, el Pleno Regional explicó que la resolución reclamada actualiza la tercera regla del artículo 37 porque es un acto de naturaleza declarativa que no trasciende ni modifica el estado material preexistente de las cosas, pues se limita a confirmar un criterio jurídico que ya existía dentro de un incidente de suspensión; al confirmarse la negativa no se emite orden ni mandato alguno para actuar o llevar a cabo algo.</w:t>
      </w:r>
    </w:p>
    <w:p>
      <w:pPr>
        <w:spacing w:line="360" w:lineRule="auto"/>
        <w:jc w:val="both"/>
      </w:pPr>
      <w:r>
        <w:rPr>
          <w:rFonts w:ascii="Arial" w:hAnsi="Arial"/>
          <w:b w:val="0"/>
          <w:i w:val="0"/>
          <w:sz w:val="28"/>
        </w:rPr>
        <w:t>El Pleno añadió el punto decisivo: los efectos para los cuales se solicitó la suspensión en el juicio de nulidad no constituyen un criterio para fijar la competencia territorial, porque ésta se determina por los alcances del acto reclamado en el amparo y no del acto impugnado en el juicio de origen.</w:t>
      </w:r>
    </w:p>
    <w:p>
      <w:pPr>
        <w:spacing w:line="360" w:lineRule="auto"/>
        <w:jc w:val="both"/>
      </w:pPr>
      <w:r>
        <w:rPr>
          <w:rFonts w:ascii="Arial" w:hAnsi="Arial"/>
          <w:b w:val="0"/>
          <w:i w:val="0"/>
          <w:sz w:val="28"/>
        </w:rPr>
        <w:t>Esa jurisprudencia obliga a este órgano. Conforme al artículo 217, párrafo segundo, de la Ley de Amparo, la jurisprudencia de los plenos regionales es obligatoria para todas las autoridades jurisdiccionales de la Federación y de las entidades federativas de su región, con las únicas salvedades de la Suprema Corte de Justicia de la Nación y de los propios plenos regionales. Los Juzgados de Distrito del Décimo Quinto Circuito, que forman parte de la Región Centro-Norte, quedan comprendidos en ese mandato.</w:t>
      </w:r>
    </w:p>
    <w:p>
      <w:pPr>
        <w:spacing w:line="360" w:lineRule="auto"/>
        <w:jc w:val="both"/>
      </w:pPr>
      <w:r>
        <w:rPr>
          <w:rFonts w:ascii="Arial" w:hAnsi="Arial"/>
          <w:b/>
          <w:sz w:val="28"/>
        </w:rPr>
        <w:t>IV. Aplicación al caso concreto y refutación anticipada de la eventual declinatoria.</w:t>
      </w:r>
    </w:p>
    <w:p>
      <w:pPr>
        <w:spacing w:line="360" w:lineRule="auto"/>
        <w:jc w:val="both"/>
      </w:pPr>
      <w:r>
        <w:rPr>
          <w:rFonts w:ascii="Arial" w:hAnsi="Arial"/>
          <w:b w:val="0"/>
          <w:i w:val="0"/>
          <w:sz w:val="28"/>
        </w:rPr>
        <w:t xml:space="preserve">Los datos del expediente encuadran sin residuo en la premisa. El acto reclamado es la resolución del Pleno del Tribunal Estatal de Justicia Administrativa de Baja California que confirmó la negativa de la suspensión definitiva; no se reclama la modificación del permiso, ni acto alguno de la </w:t>
      </w:r>
      <w:r>
        <w:rPr>
          <w:rFonts w:ascii="Arial" w:hAnsi="Arial"/>
          <w:b/>
          <w:i w:val="0"/>
          <w:sz w:val="28"/>
        </w:rPr>
        <w:t>[AUTORIDAD DEMANDADA EN EL JUICIO DE NULIDAD]</w:t>
      </w:r>
      <w:r>
        <w:rPr>
          <w:rFonts w:ascii="Arial" w:hAnsi="Arial"/>
          <w:b w:val="0"/>
          <w:i w:val="0"/>
          <w:sz w:val="28"/>
        </w:rPr>
        <w:t>, ni ninguna diligencia de ejecución. La resolución se agota en confirmar lo ya decidido en el incidente: no ordena a nadie hacer nada, no crea una situación nueva, no cambia el estado material de las cosas.</w:t>
      </w:r>
    </w:p>
    <w:p>
      <w:pPr>
        <w:spacing w:line="360" w:lineRule="auto"/>
        <w:jc w:val="both"/>
      </w:pPr>
      <w:r>
        <w:rPr>
          <w:rFonts w:ascii="Arial" w:hAnsi="Arial"/>
          <w:b w:val="0"/>
          <w:i w:val="0"/>
          <w:sz w:val="28"/>
        </w:rPr>
        <w:t xml:space="preserve">Ese acto es, en consecuencia, uno que no requiere ejecución material, y la regla aplicable es la del artículo 37, párrafo tercero, de la Ley de Amparo. La demanda se presentó ante este </w:t>
      </w:r>
      <w:r>
        <w:rPr>
          <w:rFonts w:ascii="Arial" w:hAnsi="Arial"/>
          <w:b/>
          <w:i w:val="0"/>
          <w:sz w:val="28"/>
        </w:rPr>
        <w:t>[JUZGADO DE DISTRITO ANTE EL QUE SE PRESENTA LA DEMANDA]</w:t>
      </w:r>
      <w:r>
        <w:rPr>
          <w:rFonts w:ascii="Arial" w:hAnsi="Arial"/>
          <w:b w:val="0"/>
          <w:i w:val="0"/>
          <w:sz w:val="28"/>
        </w:rPr>
        <w:t xml:space="preserve">, con residencia en </w:t>
      </w:r>
      <w:r>
        <w:rPr>
          <w:rFonts w:ascii="Arial" w:hAnsi="Arial"/>
          <w:b/>
          <w:i w:val="0"/>
          <w:sz w:val="28"/>
        </w:rPr>
        <w:t>[CIUDAD DE RESIDENCIA DEL JUZGADO]</w:t>
      </w:r>
      <w:r>
        <w:rPr>
          <w:rFonts w:ascii="Arial" w:hAnsi="Arial"/>
          <w:b w:val="0"/>
          <w:i w:val="0"/>
          <w:sz w:val="28"/>
        </w:rPr>
        <w:t xml:space="preserve">, el </w:t>
      </w:r>
      <w:r>
        <w:rPr>
          <w:rFonts w:ascii="Arial" w:hAnsi="Arial"/>
          <w:b/>
          <w:i w:val="0"/>
          <w:sz w:val="28"/>
        </w:rPr>
        <w:t>[FECHA DE PRESENTACIÓN DE LA DEMANDA DE AMPARO]</w:t>
      </w:r>
      <w:r>
        <w:rPr>
          <w:rFonts w:ascii="Arial" w:hAnsi="Arial"/>
          <w:b w:val="0"/>
          <w:i w:val="0"/>
          <w:sz w:val="28"/>
        </w:rPr>
        <w:t>, como consta en el sello de recepción. La subsunción es directa: acto declarativo más presentación de la demanda en esta jurisdicción igual a competencia de este órgano, exactamente el supuesto que la jurisprudencia PR.A.C.CN. J/52 A (12a.) resolvió con carácter obligatorio.</w:t>
      </w:r>
    </w:p>
    <w:p>
      <w:pPr>
        <w:spacing w:line="360" w:lineRule="auto"/>
        <w:jc w:val="both"/>
      </w:pPr>
      <w:r>
        <w:rPr>
          <w:rFonts w:ascii="Arial" w:hAnsi="Arial"/>
          <w:b w:val="0"/>
          <w:i w:val="0"/>
          <w:sz w:val="28"/>
        </w:rPr>
        <w:t xml:space="preserve">Se anticipa, sin embargo, el razonamiento con que suele declinarse la competencia en estos asuntos: que el permiso de taxi de ruta se explota en </w:t>
      </w:r>
      <w:r>
        <w:rPr>
          <w:rFonts w:ascii="Arial" w:hAnsi="Arial"/>
          <w:b/>
          <w:i w:val="0"/>
          <w:sz w:val="28"/>
        </w:rPr>
        <w:t>[MUNICIPIO DONDE SE PRESTA EL SERVICIO]</w:t>
      </w:r>
      <w:r>
        <w:rPr>
          <w:rFonts w:ascii="Arial" w:hAnsi="Arial"/>
          <w:b w:val="0"/>
          <w:i w:val="0"/>
          <w:sz w:val="28"/>
        </w:rPr>
        <w:t>, que ahí surte efectos la modificación de sus condiciones y que, por tanto, el Juzgado de Distrito con jurisdicción en ese lugar es el que debe conocer, conforme al párrafo primero del artículo 37. Ese razonamiento es, en lo esencial, el que uno de los Tribunales Colegiados contendientes sostuvo al aplicar la regla del lugar de ejecución y el que el Pleno Regional desechó; además, es lógicamente inválido por dos razones.</w:t>
      </w:r>
    </w:p>
    <w:p>
      <w:pPr>
        <w:spacing w:line="360" w:lineRule="auto"/>
        <w:jc w:val="both"/>
      </w:pPr>
      <w:r>
        <w:rPr>
          <w:rFonts w:ascii="Arial" w:hAnsi="Arial"/>
          <w:b w:val="0"/>
          <w:i w:val="0"/>
          <w:sz w:val="28"/>
        </w:rPr>
        <w:t>La primera es que incurre en ignoratio elenchi, la falacia que la doctrina de la argumentación describe como abandonar la cuestión en litigio para introducir otro debate, olvidando que lo más importante en cualquier discusión es saber de qué se discute.</w:t>
      </w:r>
      <w:r>
        <w:rPr>
          <w:rFonts w:ascii="Arial" w:hAnsi="Arial"/>
          <w:vertAlign w:val="superscript"/>
        </w:rPr>
        <w:t>4</w:t>
      </w:r>
      <w:r>
        <w:rPr>
          <w:rFonts w:ascii="Arial" w:hAnsi="Arial"/>
          <w:b w:val="0"/>
          <w:i w:val="0"/>
          <w:sz w:val="28"/>
        </w:rPr>
        <w:t xml:space="preserve"> La cuestión es dónde se ejecuta el acto reclamado en el amparo; la declinatoria responde dónde se ejecuta el acto impugnado en el juicio de nulidad. Prueba algo distinto de lo que debía probar, y por ello su conclusión, aunque parta de un hecho cierto, no resuelve el problema planteado.</w:t>
      </w:r>
    </w:p>
    <w:p>
      <w:pPr>
        <w:spacing w:line="360" w:lineRule="auto"/>
        <w:jc w:val="both"/>
      </w:pPr>
      <w:r>
        <w:rPr>
          <w:rFonts w:ascii="Arial" w:hAnsi="Arial"/>
          <w:b w:val="0"/>
          <w:i w:val="0"/>
          <w:sz w:val="28"/>
        </w:rPr>
        <w:t>La segunda es que descansa en una falsa analogía, vicio en que incurre todo argumento analógico que no se apoya en una semejanza relevante u olvida las diferencias que impiden la conclusión.</w:t>
      </w:r>
      <w:r>
        <w:rPr>
          <w:rFonts w:ascii="Arial" w:hAnsi="Arial"/>
          <w:vertAlign w:val="superscript"/>
        </w:rPr>
        <w:t>5</w:t>
      </w:r>
      <w:r>
        <w:rPr>
          <w:rFonts w:ascii="Arial" w:hAnsi="Arial"/>
          <w:b w:val="0"/>
          <w:i w:val="0"/>
          <w:sz w:val="28"/>
        </w:rPr>
        <w:t xml:space="preserve"> La declinatoria trata la resolución que confirma la negativa de suspensión como si fuera la modificación del permiso, y le atribuye el lugar de ejecución de ésta. Pero entre ambos actos media la diferencia que lo decide todo: uno modifica las condiciones de una concesión administrativa y se ejecuta en una ruta; el otro sólo declara que no procede suspender, y no se ejecuta en ninguna parte.</w:t>
      </w:r>
    </w:p>
    <w:p>
      <w:pPr>
        <w:spacing w:line="360" w:lineRule="auto"/>
        <w:jc w:val="both"/>
      </w:pPr>
      <w:r>
        <w:rPr>
          <w:rFonts w:ascii="Arial" w:hAnsi="Arial"/>
          <w:b w:val="0"/>
          <w:i w:val="0"/>
          <w:sz w:val="28"/>
        </w:rPr>
        <w:t>Tampoco cabe acudir a los efectos para los que se pidió la suspensión en la sede local, con el argumento de que la persona quejosa buscaba que el servicio siguiera prestándose en determinada ruta. La jurisprudencia invocada cerró expresamente esa puerta: tales efectos no constituyen un criterio para determinar la competencia por territorio, porque ésta se limita a los alcances del acto reclamado en el amparo indirecto. Aceptar lo contrario haría depender la competencia de lo que la parte pidió en otro juicio y no de la naturaleza del acto que aquí se combate, con la consecuente inseguridad para todas las partes.</w:t>
      </w:r>
    </w:p>
    <w:p>
      <w:pPr>
        <w:spacing w:line="360" w:lineRule="auto"/>
        <w:jc w:val="both"/>
      </w:pPr>
      <w:r>
        <w:rPr>
          <w:rFonts w:ascii="Arial" w:hAnsi="Arial"/>
          <w:b w:val="0"/>
          <w:i w:val="0"/>
          <w:sz w:val="28"/>
        </w:rPr>
        <w:t>A lo anterior se suma un límite legal que opera con independencia de la naturaleza del acto. El artículo 48 de la Ley de Amparo dispone, en su párrafo final, que admitida la demanda de amparo indirecto ningún órgano jurisdiccional podrá declararse incompetente para conocer del juicio antes de resolver sobre la suspensión definitiva. De modo que, si este Juzgado admite la demanda y provee sobre la medida cautelar, cualquier declinatoria posterior tendría que esperar, por mandato expreso, a la resolución de la suspensión definitiva.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acto reclamado es una resolución declarativa que no requiere ejecución material; la regla de competencia aplicable es la del artículo 37, párrafo tercero, de la Ley de Amparo; la demanda se presentó en esta jurisdicción; y la jurisprudencia PR.A.C.CN. J/52 A (12a.) del Pleno Regional en Materias Administrativa y Civil de la Región Centro-Norte, obligatoria para este órgano, resolvió con este mismo acto reclamado que la competencia corresponde al Juzgado de Distrito ante el que se presente la demanda.</w:t>
      </w:r>
    </w:p>
    <w:p>
      <w:pPr>
        <w:spacing w:line="360" w:lineRule="auto"/>
        <w:jc w:val="both"/>
      </w:pPr>
      <w:r>
        <w:rPr>
          <w:rFonts w:ascii="Arial" w:hAnsi="Arial"/>
          <w:b w:val="0"/>
          <w:i w:val="0"/>
          <w:sz w:val="28"/>
        </w:rPr>
        <w:t xml:space="preserve">Por lo expuesto, se solicita a este </w:t>
      </w:r>
      <w:r>
        <w:rPr>
          <w:rFonts w:ascii="Arial" w:hAnsi="Arial"/>
          <w:b/>
          <w:i w:val="0"/>
          <w:sz w:val="28"/>
        </w:rPr>
        <w:t>[JUZGADO DE DISTRITO ANTE EL QUE SE PRESENTA LA DEMANDA]</w:t>
      </w:r>
      <w:r>
        <w:rPr>
          <w:rFonts w:ascii="Arial" w:hAnsi="Arial"/>
          <w:b w:val="0"/>
          <w:i w:val="0"/>
          <w:sz w:val="28"/>
        </w:rPr>
        <w:t xml:space="preserve"> que se declare legalmente competente por razón de territorio, admita la demanda y provea sobre la suspensión del acto reclamado en los términos solicitados en el capítulo respectivo.</w:t>
      </w:r>
    </w:p>
    <w:p>
      <w:pPr>
        <w:spacing w:line="360" w:lineRule="auto"/>
        <w:jc w:val="both"/>
      </w:pPr>
      <w:r>
        <w:rPr>
          <w:rFonts w:ascii="Arial" w:hAnsi="Arial"/>
          <w:b w:val="0"/>
          <w:i w:val="0"/>
          <w:sz w:val="28"/>
        </w:rPr>
        <w:t xml:space="preserve">Para el caso de que este órgano estimara carecer de competencia y remitiera la demanda a </w:t>
      </w:r>
      <w:r>
        <w:rPr>
          <w:rFonts w:ascii="Arial" w:hAnsi="Arial"/>
          <w:b/>
          <w:i w:val="0"/>
          <w:sz w:val="28"/>
        </w:rPr>
        <w:t>[ÓRGANO AL QUE SE PRETENDE DECLINAR]</w:t>
      </w:r>
      <w:r>
        <w:rPr>
          <w:rFonts w:ascii="Arial" w:hAnsi="Arial"/>
          <w:b w:val="0"/>
          <w:i w:val="0"/>
          <w:sz w:val="28"/>
        </w:rPr>
        <w:t xml:space="preserve"> con apoyo en el artículo 48 de la Ley de Amparo, se pide que tenga por formuladas desde ahora las manifestaciones de este apartado, a fin de que el órgano requerido las considere al decidir sobre la aceptación y, en su caso, el Tribunal Colegiado de Circuito que resuelva el conflicto competencial las tome en cuenta al aplicar la jurisprudencia obligatoria invocada.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400.</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22-23.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82.</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