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DIRECTO. VIOLACIÓN PROCESAL POR REPOSICIÓN INDEBIDA DEL PROCEDIMIENTO POR LITISCONSORCIO NECESARIO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adáptalo a tu demanda de amparo directo. Antes de llenar los campos, reconstruye la secuencia del expediente: sentencia de primera instancia favorable, resolución de la alzada que la revocó y ordenó reponer el procedimiento, nuevo trámite con la persona llamada como litisconsorte y sentencia definitiva que ahora reclamas.</w:t>
      </w:r>
    </w:p>
    <w:p>
      <w:pPr>
        <w:spacing w:line="360" w:lineRule="auto"/>
        <w:jc w:val="both"/>
      </w:pPr>
      <w:r>
        <w:rPr>
          <w:rFonts w:ascii="Arial" w:hAnsi="Arial"/>
          <w:b w:val="0"/>
          <w:i w:val="0"/>
          <w:sz w:val="24"/>
        </w:rPr>
        <w:t>Verifica en tu código procesal local el artículo que regula el litisconsorcio y redacta con precisión por qué no se actualizaba en tu caso, porque de ese párrafo depende la fuerza del concepto. Confirma si el Tribunal Colegiado ante el que promueves pertenece a la Región Centro-Sur, porque la jurisprudencia de un Pleno Regional obliga dentro de su región y fuera de ella es orientadora; el machote ya lo dice así. Elimina los párrafos condicionales que no correspondan, por ejemplo el del amparo indirecto previo si nunca lo promoviste, y respeta el plazo de presentación de la demanda de amparo directo que fija la Ley de Amparo, contado conforme a las reglas de notificación aplicables.</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[AUTORIDAD RESPONSABLE]</w:t>
      </w:r>
      <w:r>
        <w:rPr>
          <w:rFonts w:ascii="Arial" w:hAnsi="Arial"/>
          <w:b w:val="0"/>
          <w:i w:val="0"/>
          <w:sz w:val="24"/>
        </w:rPr>
        <w:t>: la Sala o tribunal de apelación que dictó la sentencia definitiva reclamada y, en su caso, la resolución de reposición.</w:t>
      </w:r>
    </w:p>
    <w:p>
      <w:pPr>
        <w:spacing w:line="360" w:lineRule="auto"/>
        <w:jc w:val="both"/>
      </w:pPr>
      <w:r>
        <w:rPr>
          <w:rFonts w:ascii="Arial" w:hAnsi="Arial"/>
          <w:b/>
          <w:i w:val="0"/>
          <w:sz w:val="24"/>
        </w:rPr>
        <w:t>[NOMBRE DE LA PERSONA QUEJOSA]</w:t>
      </w:r>
      <w:r>
        <w:rPr>
          <w:rFonts w:ascii="Arial" w:hAnsi="Arial"/>
          <w:b w:val="0"/>
          <w:i w:val="0"/>
          <w:sz w:val="24"/>
        </w:rPr>
        <w:t>: la persona adulta mayor (o cualquier parte) que ganó en primera instancia y promueve el amparo.</w:t>
      </w:r>
    </w:p>
    <w:p>
      <w:pPr>
        <w:spacing w:line="360" w:lineRule="auto"/>
        <w:jc w:val="both"/>
      </w:pPr>
      <w:r>
        <w:rPr>
          <w:rFonts w:ascii="Arial" w:hAnsi="Arial"/>
          <w:b/>
          <w:i w:val="0"/>
          <w:sz w:val="24"/>
        </w:rPr>
        <w:t>[NÚMERO DEL TOCA DE APELACIÓN]</w:t>
      </w:r>
      <w:r>
        <w:rPr>
          <w:rFonts w:ascii="Arial" w:hAnsi="Arial"/>
          <w:b w:val="0"/>
          <w:i w:val="0"/>
          <w:sz w:val="24"/>
        </w:rPr>
        <w:t>: el toca en el que se ordenó la reposición del procedimiento.</w:t>
      </w:r>
    </w:p>
    <w:p>
      <w:pPr>
        <w:spacing w:line="360" w:lineRule="auto"/>
        <w:jc w:val="both"/>
      </w:pPr>
      <w:r>
        <w:rPr>
          <w:rFonts w:ascii="Arial" w:hAnsi="Arial"/>
          <w:b/>
          <w:i w:val="0"/>
          <w:sz w:val="24"/>
        </w:rPr>
        <w:t>[NOMBRE DE LA PERSONA LLAMADA COMO LITISCONSORTE]</w:t>
      </w:r>
      <w:r>
        <w:rPr>
          <w:rFonts w:ascii="Arial" w:hAnsi="Arial"/>
          <w:b w:val="0"/>
          <w:i w:val="0"/>
          <w:sz w:val="24"/>
        </w:rPr>
        <w:t>: la persona que la alzada mandó emplazar.</w:t>
      </w:r>
    </w:p>
    <w:p>
      <w:pPr>
        <w:spacing w:line="360" w:lineRule="auto"/>
        <w:jc w:val="both"/>
      </w:pPr>
      <w:r>
        <w:rPr>
          <w:rFonts w:ascii="Arial" w:hAnsi="Arial"/>
          <w:b/>
          <w:i w:val="0"/>
          <w:sz w:val="24"/>
        </w:rPr>
        <w:t>[FECHA DE LA SENTENCIA RECLAMADA]</w:t>
      </w:r>
      <w:r>
        <w:rPr>
          <w:rFonts w:ascii="Arial" w:hAnsi="Arial"/>
          <w:b w:val="0"/>
          <w:i w:val="0"/>
          <w:sz w:val="24"/>
        </w:rPr>
        <w:t>: fecha de la sentencia definitiva del juicio repuesto.</w:t>
      </w:r>
    </w:p>
    <w:p>
      <w:pPr>
        <w:spacing w:line="360" w:lineRule="auto"/>
        <w:jc w:val="both"/>
      </w:pPr>
      <w:r>
        <w:rPr>
          <w:rFonts w:ascii="Arial" w:hAnsi="Arial"/>
          <w:b/>
          <w:i w:val="0"/>
          <w:sz w:val="24"/>
        </w:rPr>
        <w:t>[NÚMERO DEL EXPEDIENTE DE ORIGEN Y JUZGADO]</w:t>
      </w:r>
      <w:r>
        <w:rPr>
          <w:rFonts w:ascii="Arial" w:hAnsi="Arial"/>
          <w:b w:val="0"/>
          <w:i w:val="0"/>
          <w:sz w:val="24"/>
        </w:rPr>
        <w:t>: expediente y juzgado de primera instancia.</w:t>
      </w:r>
    </w:p>
    <w:p>
      <w:pPr>
        <w:spacing w:line="360" w:lineRule="auto"/>
        <w:jc w:val="both"/>
      </w:pPr>
      <w:r>
        <w:rPr>
          <w:rFonts w:ascii="Arial" w:hAnsi="Arial"/>
          <w:b/>
          <w:i w:val="0"/>
          <w:sz w:val="24"/>
        </w:rPr>
        <w:t>[FECHA DE LA RESOLUCIÓN QUE ORDENÓ LA REPOSICIÓN]</w:t>
      </w:r>
      <w:r>
        <w:rPr>
          <w:rFonts w:ascii="Arial" w:hAnsi="Arial"/>
          <w:b w:val="0"/>
          <w:i w:val="0"/>
          <w:sz w:val="24"/>
        </w:rPr>
        <w:t>: fecha de la resolución de segunda instancia que revocó y ordenó reponer.</w:t>
      </w:r>
    </w:p>
    <w:p>
      <w:pPr>
        <w:spacing w:line="360" w:lineRule="auto"/>
        <w:jc w:val="both"/>
      </w:pPr>
      <w:r>
        <w:rPr>
          <w:rFonts w:ascii="Arial" w:hAnsi="Arial"/>
          <w:b/>
          <w:i w:val="0"/>
          <w:sz w:val="24"/>
        </w:rPr>
        <w:t>[ARTÍCULO DEL CÓDIGO PROCESAL APLICABLE]</w:t>
      </w:r>
      <w:r>
        <w:rPr>
          <w:rFonts w:ascii="Arial" w:hAnsi="Arial"/>
          <w:b w:val="0"/>
          <w:i w:val="0"/>
          <w:sz w:val="24"/>
        </w:rPr>
        <w:t>: el precepto de tu código procesal civil o familiar que regula el litisconsorcio; verifícalo en el texto vigente.</w:t>
      </w:r>
    </w:p>
    <w:p>
      <w:pPr>
        <w:spacing w:line="360" w:lineRule="auto"/>
        <w:jc w:val="both"/>
      </w:pPr>
      <w:r>
        <w:rPr>
          <w:rFonts w:ascii="Arial" w:hAnsi="Arial"/>
          <w:b/>
          <w:i w:val="0"/>
          <w:sz w:val="24"/>
        </w:rPr>
        <w:t>[EDAD DE LA PERSONA QUEJOSA]</w:t>
      </w:r>
      <w:r>
        <w:rPr>
          <w:rFonts w:ascii="Arial" w:hAnsi="Arial"/>
          <w:b w:val="0"/>
          <w:i w:val="0"/>
          <w:sz w:val="24"/>
        </w:rPr>
        <w:t>: edad al presentar la demanda, acreditada con documento idóneo.</w:t>
      </w:r>
    </w:p>
    <w:p>
      <w:pPr>
        <w:spacing w:line="360" w:lineRule="auto"/>
        <w:jc w:val="both"/>
      </w:pPr>
      <w:r>
        <w:rPr>
          <w:rFonts w:ascii="Arial" w:hAnsi="Arial"/>
          <w:b/>
          <w:i w:val="0"/>
          <w:sz w:val="24"/>
        </w:rPr>
        <w:t>[CÓMO TRASCENDIÓ LA REPOSICIÓN AL RESULTADO DEL FALLO]</w:t>
      </w:r>
      <w:r>
        <w:rPr>
          <w:rFonts w:ascii="Arial" w:hAnsi="Arial"/>
          <w:b w:val="0"/>
          <w:i w:val="0"/>
          <w:sz w:val="24"/>
        </w:rPr>
        <w:t>: explica en concreto qué cambió en la sentencia por la reposición: pruebas o excepciones de la persona llamada que se tomaron en cuenta, sentido distinto del fallo, prestaciones perdidas.</w:t>
      </w:r>
    </w:p>
    <w:p>
      <w:pPr>
        <w:spacing w:line="360" w:lineRule="auto"/>
        <w:jc w:val="both"/>
      </w:pPr>
      <w:r>
        <w:rPr>
          <w:rFonts w:ascii="Arial" w:hAnsi="Arial"/>
          <w:b/>
          <w:i w:val="0"/>
          <w:sz w:val="24"/>
        </w:rPr>
        <w:t>[MEDIO DE DEFENSA AGOTADO CONTRA LA REPOSICIÓN, SI LO HUBO]</w:t>
      </w:r>
      <w:r>
        <w:rPr>
          <w:rFonts w:ascii="Arial" w:hAnsi="Arial"/>
          <w:b w:val="0"/>
          <w:i w:val="0"/>
          <w:sz w:val="24"/>
        </w:rPr>
        <w:t>: si tu legislación preveía algún recurso contra la resolución de reposición y lo agotaste, indícalo; si no procedía ninguno, elimina el campo.</w:t>
      </w:r>
    </w:p>
    <w:p>
      <w:pPr>
        <w:spacing w:line="360" w:lineRule="auto"/>
        <w:jc w:val="both"/>
      </w:pPr>
      <w:r>
        <w:rPr>
          <w:rFonts w:ascii="Arial" w:hAnsi="Arial"/>
          <w:b/>
          <w:i w:val="0"/>
          <w:sz w:val="24"/>
        </w:rPr>
        <w:t>[DATOS DEL AMPARO INDIRECTO PREVIO, SI LO HUBO]</w:t>
      </w:r>
      <w:r>
        <w:rPr>
          <w:rFonts w:ascii="Arial" w:hAnsi="Arial"/>
          <w:b w:val="0"/>
          <w:i w:val="0"/>
          <w:sz w:val="24"/>
        </w:rPr>
        <w:t>: si se promovió amparo indirecto contra la reposición y fue desechado o sobreseído, anota juzgado, expediente y sentido; si no, elimina la oración.</w:t>
      </w:r>
    </w:p>
    <w:p>
      <w:pPr>
        <w:spacing w:line="360" w:lineRule="auto"/>
        <w:jc w:val="both"/>
      </w:pPr>
      <w:r>
        <w:rPr>
          <w:rFonts w:ascii="Arial" w:hAnsi="Arial"/>
          <w:b/>
          <w:i w:val="0"/>
          <w:sz w:val="24"/>
        </w:rPr>
        <w:t>[RAZÓN POR LA QUE NO SE ACTUALIZA EL LITISCONSORCIO]</w:t>
      </w:r>
      <w:r>
        <w:rPr>
          <w:rFonts w:ascii="Arial" w:hAnsi="Arial"/>
          <w:b w:val="0"/>
          <w:i w:val="0"/>
          <w:sz w:val="24"/>
        </w:rPr>
        <w:t>: el argumento central: por qué la persona llamada no es titular de la relación jurídica debatida ni resultaría vinculada por la sentencia.</w:t>
      </w:r>
    </w:p>
    <w:p/>
    <w:p>
      <w:pPr>
        <w:spacing w:line="360" w:lineRule="auto"/>
        <w:jc w:val="both"/>
      </w:pPr>
      <w:r>
        <w:rPr>
          <w:rFonts w:ascii="Arial" w:hAnsi="Arial"/>
          <w:b/>
          <w:sz w:val="28"/>
        </w:rPr>
        <w:t>[NÚMERO ORDINAL DEL CONCEPTO] CONCEPTO DE VIOLACIÓN. Violación procesal por indebida reposición del procedimiento para integrar un litisconsorcio necesario que no se actualiza. La resolución de segunda instancia que revocó la primera sentencia y ordenó reponer el juicio es un acto de naturaleza adjetiva, no reclamable en amparo indirecto, que afectó las defensas de la persona quejosa y trascendió al resultado del fallo, por lo que debe examinarse en esta vía conforme a los artículos 170, fracción I, 171, 172, fracción XII, y 174 de la Ley de Amparo.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sentencia definitiva reclamada es fruto de un procedimiento viciado desde su raíz. La </w:t>
      </w:r>
      <w:r>
        <w:rPr>
          <w:rFonts w:ascii="Arial" w:hAnsi="Arial"/>
          <w:b/>
          <w:i w:val="0"/>
          <w:sz w:val="28"/>
        </w:rPr>
        <w:t>[AUTORIDAD RESPONSABLE]</w:t>
      </w:r>
      <w:r>
        <w:rPr>
          <w:rFonts w:ascii="Arial" w:hAnsi="Arial"/>
          <w:b w:val="0"/>
          <w:i w:val="0"/>
          <w:sz w:val="28"/>
        </w:rPr>
        <w:t xml:space="preserve">, al resolver el toca </w:t>
      </w:r>
      <w:r>
        <w:rPr>
          <w:rFonts w:ascii="Arial" w:hAnsi="Arial"/>
          <w:b/>
          <w:i w:val="0"/>
          <w:sz w:val="28"/>
        </w:rPr>
        <w:t>[NÚMERO DEL TOCA DE APELACIÓN]</w:t>
      </w:r>
      <w:r>
        <w:rPr>
          <w:rFonts w:ascii="Arial" w:hAnsi="Arial"/>
          <w:b w:val="0"/>
          <w:i w:val="0"/>
          <w:sz w:val="28"/>
        </w:rPr>
        <w:t xml:space="preserve">, revocó la sentencia que había favorecido a </w:t>
      </w:r>
      <w:r>
        <w:rPr>
          <w:rFonts w:ascii="Arial" w:hAnsi="Arial"/>
          <w:b/>
          <w:i w:val="0"/>
          <w:sz w:val="28"/>
        </w:rPr>
        <w:t>[NOMBRE DE LA PERSONA QUEJOSA]</w:t>
      </w:r>
      <w:r>
        <w:rPr>
          <w:rFonts w:ascii="Arial" w:hAnsi="Arial"/>
          <w:b w:val="0"/>
          <w:i w:val="0"/>
          <w:sz w:val="28"/>
        </w:rPr>
        <w:t xml:space="preserve"> y ordenó reponer el juicio para llamar a </w:t>
      </w:r>
      <w:r>
        <w:rPr>
          <w:rFonts w:ascii="Arial" w:hAnsi="Arial"/>
          <w:b/>
          <w:i w:val="0"/>
          <w:sz w:val="28"/>
        </w:rPr>
        <w:t>[NOMBRE DE LA PERSONA LLAMADA COMO LITISCONSORTE]</w:t>
      </w:r>
      <w:r>
        <w:rPr>
          <w:rFonts w:ascii="Arial" w:hAnsi="Arial"/>
          <w:b w:val="0"/>
          <w:i w:val="0"/>
          <w:sz w:val="28"/>
        </w:rPr>
        <w:t xml:space="preserve"> con el carácter de litisconsorte necesaria, cuando esa figura no se actualizaba, porque la relación jurídica debatida no exigía una sentencia única frente a esa persona.</w:t>
      </w:r>
    </w:p>
    <w:p>
      <w:pPr>
        <w:spacing w:line="360" w:lineRule="auto"/>
        <w:jc w:val="both"/>
      </w:pPr>
      <w:r>
        <w:rPr>
          <w:rFonts w:ascii="Arial" w:hAnsi="Arial"/>
          <w:b w:val="0"/>
          <w:i w:val="0"/>
          <w:sz w:val="28"/>
        </w:rPr>
        <w:t>La demostración tiene dos tiempos. Primero se explicará por qué esta violación se reclama ahora y no antes: la resolución que ordena reponer el procedimiento por litisconsorcio necesario es, por regla general, un acto adjetivo que no afecta materialmente derechos sustantivos, de modo que no era reclamable en amparo indirecto, ni siquiera en atención a la edad muy avanzada de la persona quejosa, como lo tiene resuelto la jurisprudencia obligatoria que se invoca. Su sede natural es, precisamente, el amparo directo contra la sentencia definitiva.</w:t>
      </w:r>
    </w:p>
    <w:p>
      <w:pPr>
        <w:spacing w:line="360" w:lineRule="auto"/>
        <w:jc w:val="both"/>
      </w:pPr>
      <w:r>
        <w:rPr>
          <w:rFonts w:ascii="Arial" w:hAnsi="Arial"/>
          <w:b w:val="0"/>
          <w:i w:val="0"/>
          <w:sz w:val="28"/>
        </w:rPr>
        <w:t>Después se mostrará que la reposición fue ilegal y que trascendió al resultado del fallo, pues dejó sin efectos un pronunciamiento favorable, reabrió una relación procesal que ya estaba debidamente integrada y condujo a una sentencia distinta de la que se habría dictado sin ese vicio. La consecuencia es la concesión del amparo para que se deje insubsistente todo lo actuado a partir de la reposición indebida.</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la sentencia definitiva de </w:t>
      </w:r>
      <w:r>
        <w:rPr>
          <w:rFonts w:ascii="Arial" w:hAnsi="Arial"/>
          <w:b/>
          <w:i w:val="0"/>
          <w:sz w:val="28"/>
        </w:rPr>
        <w:t>[FECHA DE LA SENTENCIA RECLAMADA]</w:t>
      </w:r>
      <w:r>
        <w:rPr>
          <w:rFonts w:ascii="Arial" w:hAnsi="Arial"/>
          <w:b w:val="0"/>
          <w:i w:val="0"/>
          <w:sz w:val="28"/>
        </w:rPr>
        <w:t xml:space="preserve">, dictada por la </w:t>
      </w:r>
      <w:r>
        <w:rPr>
          <w:rFonts w:ascii="Arial" w:hAnsi="Arial"/>
          <w:b/>
          <w:i w:val="0"/>
          <w:sz w:val="28"/>
        </w:rPr>
        <w:t>[AUTORIDAD RESPONSABLE]</w:t>
      </w:r>
      <w:r>
        <w:rPr>
          <w:rFonts w:ascii="Arial" w:hAnsi="Arial"/>
          <w:b w:val="0"/>
          <w:i w:val="0"/>
          <w:sz w:val="28"/>
        </w:rPr>
        <w:t xml:space="preserve"> al resolver la apelación en el juicio de origen tramitado bajo el expediente </w:t>
      </w:r>
      <w:r>
        <w:rPr>
          <w:rFonts w:ascii="Arial" w:hAnsi="Arial"/>
          <w:b/>
          <w:i w:val="0"/>
          <w:sz w:val="28"/>
        </w:rPr>
        <w:t>[NÚMERO DEL EXPEDIENTE DE ORIGEN Y JUZGADO]</w:t>
      </w:r>
      <w:r>
        <w:rPr>
          <w:rFonts w:ascii="Arial" w:hAnsi="Arial"/>
          <w:b w:val="0"/>
          <w:i w:val="0"/>
          <w:sz w:val="28"/>
        </w:rPr>
        <w:t xml:space="preserve">. Como violación procesal se señala la resolución de </w:t>
      </w:r>
      <w:r>
        <w:rPr>
          <w:rFonts w:ascii="Arial" w:hAnsi="Arial"/>
          <w:b/>
          <w:i w:val="0"/>
          <w:sz w:val="28"/>
        </w:rPr>
        <w:t>[FECHA DE LA RESOLUCIÓN QUE ORDENÓ LA REPOSICIÓN]</w:t>
      </w:r>
      <w:r>
        <w:rPr>
          <w:rFonts w:ascii="Arial" w:hAnsi="Arial"/>
          <w:b w:val="0"/>
          <w:i w:val="0"/>
          <w:sz w:val="28"/>
        </w:rPr>
        <w:t xml:space="preserve">, pronunciada en el toca </w:t>
      </w:r>
      <w:r>
        <w:rPr>
          <w:rFonts w:ascii="Arial" w:hAnsi="Arial"/>
          <w:b/>
          <w:i w:val="0"/>
          <w:sz w:val="28"/>
        </w:rPr>
        <w:t>[NÚMERO DEL TOCA DE APELACIÓN]</w:t>
      </w:r>
      <w:r>
        <w:rPr>
          <w:rFonts w:ascii="Arial" w:hAnsi="Arial"/>
          <w:b w:val="0"/>
          <w:i w:val="0"/>
          <w:sz w:val="28"/>
        </w:rPr>
        <w:t xml:space="preserve">, que revocó la primera sentencia y ordenó reponer el procedimiento para emplazar a </w:t>
      </w:r>
      <w:r>
        <w:rPr>
          <w:rFonts w:ascii="Arial" w:hAnsi="Arial"/>
          <w:b/>
          <w:i w:val="0"/>
          <w:sz w:val="28"/>
        </w:rPr>
        <w:t>[NOMBRE DE LA PERSONA LLAMADA COMO LITISCONSORTE]</w:t>
      </w:r>
      <w:r>
        <w:rPr>
          <w:rFonts w:ascii="Arial" w:hAnsi="Arial"/>
          <w:b w:val="0"/>
          <w:i w:val="0"/>
          <w:sz w:val="28"/>
        </w:rPr>
        <w:t>.</w:t>
      </w:r>
    </w:p>
    <w:p>
      <w:pPr>
        <w:spacing w:line="360" w:lineRule="auto"/>
        <w:jc w:val="both"/>
      </w:pPr>
      <w:r>
        <w:rPr>
          <w:rFonts w:ascii="Arial" w:hAnsi="Arial"/>
          <w:b w:val="0"/>
          <w:i w:val="0"/>
          <w:sz w:val="28"/>
        </w:rPr>
        <w:t xml:space="preserve">Las normas cuya inobservancia se plantea son el artículo </w:t>
      </w:r>
      <w:r>
        <w:rPr>
          <w:rFonts w:ascii="Arial" w:hAnsi="Arial"/>
          <w:b/>
          <w:i w:val="0"/>
          <w:sz w:val="28"/>
        </w:rPr>
        <w:t>[ARTÍCULO DEL CÓDIGO PROCESAL APLICABLE]</w:t>
      </w:r>
      <w:r>
        <w:rPr>
          <w:rFonts w:ascii="Arial" w:hAnsi="Arial"/>
          <w:b w:val="0"/>
          <w:i w:val="0"/>
          <w:sz w:val="28"/>
        </w:rPr>
        <w:t>, que regula el litisconsorcio y sólo lo impone cuando la cuestión litigiosa debe resolverse de modo uniforme para varias personas; los artículos 14, segundo párrafo, y 17, segundo párrafo, de la Constitución Política de los Estados Unidos Mexicanos, que garantizan las formalidades esenciales del procedimiento y la justicia pronta, completa e imparcial; y los artículos 170, fracción I, 171, 172, fracción XII, y 174 de la Ley de Amparo, que fijan el régimen de las violaciones procesales en el amparo directo.</w:t>
      </w:r>
    </w:p>
    <w:p>
      <w:pPr>
        <w:spacing w:line="360" w:lineRule="auto"/>
        <w:jc w:val="both"/>
      </w:pPr>
      <w:r>
        <w:rPr>
          <w:rFonts w:ascii="Arial" w:hAnsi="Arial"/>
          <w:b w:val="0"/>
          <w:i w:val="0"/>
          <w:sz w:val="28"/>
        </w:rPr>
        <w:t xml:space="preserve">El perjuicio es concreto. La persona quejosa, de </w:t>
      </w:r>
      <w:r>
        <w:rPr>
          <w:rFonts w:ascii="Arial" w:hAnsi="Arial"/>
          <w:b/>
          <w:i w:val="0"/>
          <w:sz w:val="28"/>
        </w:rPr>
        <w:t>[EDAD DE LA PERSONA QUEJOSA]</w:t>
      </w:r>
      <w:r>
        <w:rPr>
          <w:rFonts w:ascii="Arial" w:hAnsi="Arial"/>
          <w:b w:val="0"/>
          <w:i w:val="0"/>
          <w:sz w:val="28"/>
        </w:rPr>
        <w:t xml:space="preserve"> años, había obtenido una sentencia favorable; la reposición la privó de ese fallo, la obligó a litigar de nuevo íntegramente y desembocó en la sentencia que ahora se reclama, cuyo sentido se explica por el vicio: </w:t>
      </w:r>
      <w:r>
        <w:rPr>
          <w:rFonts w:ascii="Arial" w:hAnsi="Arial"/>
          <w:b/>
          <w:i w:val="0"/>
          <w:sz w:val="28"/>
        </w:rPr>
        <w:t>[CÓMO TRASCENDIÓ LA REPOSICIÓN AL RESULTADO DEL FALLO]</w:t>
      </w:r>
      <w:r>
        <w:rPr>
          <w:rFonts w:ascii="Arial" w:hAnsi="Arial"/>
          <w:b w:val="0"/>
          <w:i w:val="0"/>
          <w:sz w:val="28"/>
        </w:rPr>
        <w:t>. De prosperar este concepto, el beneficio es el mayor posible en esta vía: la insubsistencia de lo actuado a partir de la reposición y el dictado de una nueva sentencia sobre la base del proceso originalmente integrado.</w:t>
      </w:r>
    </w:p>
    <w:p>
      <w:pPr>
        <w:spacing w:line="360" w:lineRule="auto"/>
        <w:jc w:val="both"/>
      </w:pPr>
      <w:r>
        <w:rPr>
          <w:rFonts w:ascii="Arial" w:hAnsi="Arial"/>
          <w:b w:val="0"/>
          <w:i w:val="0"/>
          <w:sz w:val="28"/>
        </w:rPr>
        <w:t xml:space="preserve">Sobre la oportunidad y la definitividad conviene ser explícitos. Contra la resolución de segunda instancia que ordenó la reposición no procedía recurso ordinario alguno </w:t>
      </w:r>
      <w:r>
        <w:rPr>
          <w:rFonts w:ascii="Arial" w:hAnsi="Arial"/>
          <w:b/>
          <w:i w:val="0"/>
          <w:sz w:val="28"/>
        </w:rPr>
        <w:t>[MEDIO DE DEFENSA AGOTADO CONTRA LA REPOSICIÓN, SI LO HUBO]</w:t>
      </w:r>
      <w:r>
        <w:rPr>
          <w:rFonts w:ascii="Arial" w:hAnsi="Arial"/>
          <w:b w:val="0"/>
          <w:i w:val="0"/>
          <w:sz w:val="28"/>
        </w:rPr>
        <w:t>, por lo que el requisito del artículo 171, primer párrafo, de la Ley de Amparo está colmado; además, cuando el juicio de origen afecta el estado civil o el orden o la estabilidad de la familia, el segundo párrafo del propio precepto exime expresamente de esa carga.</w:t>
      </w:r>
    </w:p>
    <w:p>
      <w:pPr>
        <w:spacing w:line="360" w:lineRule="auto"/>
        <w:jc w:val="both"/>
      </w:pPr>
      <w:r>
        <w:rPr>
          <w:rFonts w:ascii="Arial" w:hAnsi="Arial"/>
          <w:b w:val="0"/>
          <w:i w:val="0"/>
          <w:sz w:val="28"/>
        </w:rPr>
        <w:t xml:space="preserve">Tampoco puede reprocharse a la persona quejosa no haber acudido al amparo indirecto. </w:t>
      </w:r>
      <w:r>
        <w:rPr>
          <w:rFonts w:ascii="Arial" w:hAnsi="Arial"/>
          <w:b/>
          <w:i w:val="0"/>
          <w:sz w:val="28"/>
        </w:rPr>
        <w:t>[DATOS DEL AMPARO INDIRECTO PREVIO, SI LO HUBO]</w:t>
      </w:r>
      <w:r>
        <w:rPr>
          <w:rFonts w:ascii="Arial" w:hAnsi="Arial"/>
          <w:b w:val="0"/>
          <w:i w:val="0"/>
          <w:sz w:val="28"/>
        </w:rPr>
        <w:t>. La reposición del procedimiento por litisconsorcio necesario no constituye, por regla general, un acto de imposible reparación, ni siquiera cuando quien la resiente es una persona adulta mayor de edad muy avanzada, según la jurisprudencia que enseguida se invoca; por tanto, la vía para combatirla es ésta, como violación procesal, en términos del artículo 170, fracción I, de la Ley de Amparo.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El punto de partida es la frontera entre el amparo indirecto y el directo frente a los actos dictados dentro de juicio. El artículo 107, fracción V, de la Ley de Amparo abre el indirecto únicamente a los actos de imposible reparación, entendidos como los que afectan materialmente derechos sustantivos; todo lo demás que ocurre en el juicio se examina, en su caso, en el amparo directo contra la sentencia definitiva, conforme al artículo 170, fracción I, cuando la violación afectó las defensas de la persona quejosa y trascendió al resultado del fallo.</w:t>
      </w:r>
    </w:p>
    <w:p>
      <w:pPr>
        <w:spacing w:line="360" w:lineRule="auto"/>
        <w:jc w:val="both"/>
      </w:pPr>
      <w:r>
        <w:rPr>
          <w:rFonts w:ascii="Arial" w:hAnsi="Arial"/>
          <w:b w:val="0"/>
          <w:i w:val="0"/>
          <w:sz w:val="28"/>
        </w:rPr>
        <w:t>La doctrina explica el sentido de esa frontera. Para que un acto intraprocesal sea irreparable, sus consecuencias deben ser de tal gravedad que impidan en forma actual el ejercicio de un derecho, y no limitarse a producir una lesión de naturaleza formal o adjetiva que sólo llegará a trascender, si acaso, en el resultado del fallo.</w:t>
      </w:r>
      <w:r>
        <w:rPr>
          <w:rFonts w:ascii="Arial" w:hAnsi="Arial"/>
          <w:vertAlign w:val="superscript"/>
        </w:rPr>
        <w:t>1</w:t>
      </w:r>
      <w:r>
        <w:rPr>
          <w:rFonts w:ascii="Arial" w:hAnsi="Arial"/>
          <w:b w:val="0"/>
          <w:i w:val="0"/>
          <w:sz w:val="28"/>
        </w:rPr>
        <w:t xml:space="preserve"> La afectación procesal no desaparece con esa regla: cambia de vía y de momento.</w:t>
      </w:r>
    </w:p>
    <w:p>
      <w:pPr>
        <w:spacing w:line="360" w:lineRule="auto"/>
        <w:jc w:val="both"/>
      </w:pPr>
      <w:r>
        <w:rPr>
          <w:rFonts w:ascii="Arial" w:hAnsi="Arial"/>
          <w:b w:val="0"/>
          <w:i w:val="0"/>
          <w:sz w:val="28"/>
        </w:rPr>
        <w:t>El Diccionario de derecho procesal constitucional recuerda que la noción de acto de imposible reparación transitó por varias aproximaciones jurisprudenciales, que primero atendieron a los derechos procesales de los que ya no se ocuparía la sentencia y después a la afectación directa de derechos sustantivos, hasta que el legislador la definió como la que afecta materialmente derechos sustantivos.</w:t>
      </w:r>
      <w:r>
        <w:rPr>
          <w:rFonts w:ascii="Arial" w:hAnsi="Arial"/>
          <w:vertAlign w:val="superscript"/>
        </w:rPr>
        <w:t>2</w:t>
      </w:r>
      <w:r>
        <w:rPr>
          <w:rFonts w:ascii="Arial" w:hAnsi="Arial"/>
          <w:b w:val="0"/>
          <w:i w:val="0"/>
          <w:sz w:val="28"/>
        </w:rPr>
        <w:t xml:space="preserve"> Al glosar la fracción V del artículo 107 vigente, la misma obra precisa que esa limitante significa que el amparo indirecto no procede contra la transgresión de derechos procesales.</w:t>
      </w:r>
      <w:r>
        <w:rPr>
          <w:rFonts w:ascii="Arial" w:hAnsi="Arial"/>
          <w:vertAlign w:val="superscript"/>
        </w:rPr>
        <w:t>3</w:t>
      </w:r>
    </w:p>
    <w:p>
      <w:pPr>
        <w:spacing w:line="360" w:lineRule="auto"/>
        <w:jc w:val="both"/>
      </w:pPr>
      <w:r>
        <w:rPr>
          <w:rFonts w:ascii="Arial" w:hAnsi="Arial"/>
          <w:b w:val="0"/>
          <w:i w:val="0"/>
          <w:sz w:val="28"/>
        </w:rPr>
        <w:t xml:space="preserve">Esa premisa quedó fijada, para el supuesto exacto de este concepto, por la jurisprudencia de rubro </w:t>
      </w:r>
      <w:r>
        <w:rPr>
          <w:rFonts w:ascii="Arial" w:hAnsi="Arial"/>
          <w:b w:val="0"/>
          <w:i/>
          <w:sz w:val="28"/>
        </w:rPr>
        <w:t>«ACTO DE IMPOSIBLE REPARACIÓN PARA EFECTOS DE LA PROCEDENCIA DEL AMPARO INDIRECTO. NO LO CONSTITUYE LA RESOLUCIÓN DE SEGUNDA INSTANCIA QUE ORDENA REPONER EL PROCEDIMIENTO POR ACTUALIZARSE LITISCONSORCIO NECESARIO, POR EL SOLO HECHO DE QUE LA PARTE QUEJOSA SEA UNA PERSONA ADULTA MAYOR DE EDAD MUY AVANZADA»</w:t>
      </w:r>
      <w:r>
        <w:rPr>
          <w:rFonts w:ascii="Arial" w:hAnsi="Arial"/>
          <w:b w:val="0"/>
          <w:i w:val="0"/>
          <w:sz w:val="28"/>
        </w:rPr>
        <w:t>.</w:t>
      </w:r>
    </w:p>
    <w:p>
      <w:pPr>
        <w:spacing w:line="360" w:lineRule="auto"/>
        <w:jc w:val="both"/>
      </w:pPr>
      <w:r>
        <w:rPr>
          <w:rFonts w:ascii="Arial" w:hAnsi="Arial"/>
          <w:b w:val="0"/>
          <w:i w:val="0"/>
          <w:sz w:val="28"/>
        </w:rPr>
        <w:t>Se trata de la jurisprudencia PR.A.C.CS. J/11 K (12a.), sustentada por el Pleno Regional en Materias Administrativa y Civil de la Región Centro-Sur, con residencia en la Ciudad de México (instancia: Plenos Regionales), al resolver la contradicción de criterios 28/2026; fue publicada en el Semanario Judicial de la Federación el viernes 14 de agosto de 2026 y es de aplicación obligatoria a partir del lunes 17 de agosto de 2026; registro digital 2032479.</w:t>
      </w:r>
    </w:p>
    <w:p>
      <w:pPr>
        <w:spacing w:line="360" w:lineRule="auto"/>
        <w:jc w:val="both"/>
      </w:pPr>
      <w:r>
        <w:rPr>
          <w:rFonts w:ascii="Arial" w:hAnsi="Arial"/>
          <w:b w:val="0"/>
          <w:i w:val="0"/>
          <w:sz w:val="28"/>
        </w:rPr>
        <w:t>Conforme al artículo 217 de la Ley de Amparo, esa jurisprudencia vincula a todas las autoridades jurisdiccionales de la Federación y de las entidades federativas de la Región Centro-Sur; fuera de ella se invoca como criterio orientador, con la autoridad que le da haber resuelto una contradicción de criterios.</w:t>
      </w:r>
    </w:p>
    <w:p>
      <w:pPr>
        <w:spacing w:line="360" w:lineRule="auto"/>
        <w:jc w:val="both"/>
      </w:pPr>
      <w:r>
        <w:rPr>
          <w:rFonts w:ascii="Arial" w:hAnsi="Arial"/>
          <w:b w:val="0"/>
          <w:i w:val="0"/>
          <w:sz w:val="28"/>
        </w:rPr>
        <w:t xml:space="preserve">Su criterio jurídico es el siguiente: </w:t>
      </w:r>
      <w:r>
        <w:rPr>
          <w:rFonts w:ascii="Arial" w:hAnsi="Arial"/>
          <w:b w:val="0"/>
          <w:i/>
          <w:sz w:val="28"/>
        </w:rPr>
        <w:t>«La resolución de segunda instancia que revoca una sentencia definitiva y ordena reponer el procedimiento por actualizarse litisconsorcio necesario, no constituye un acto de imposible reparación para efectos de la procedencia del juicio de amparo indirecto, por el solo hecho de que la parte quejosa sea una persona adulta mayor de edad muy avanzada»</w:t>
      </w:r>
      <w:r>
        <w:rPr>
          <w:rFonts w:ascii="Arial" w:hAnsi="Arial"/>
          <w:b w:val="0"/>
          <w:i w:val="0"/>
          <w:sz w:val="28"/>
        </w:rPr>
        <w:t>.</w:t>
      </w:r>
    </w:p>
    <w:p>
      <w:pPr>
        <w:spacing w:line="360" w:lineRule="auto"/>
        <w:jc w:val="both"/>
      </w:pPr>
      <w:r>
        <w:rPr>
          <w:rFonts w:ascii="Arial" w:hAnsi="Arial"/>
          <w:b w:val="0"/>
          <w:i w:val="0"/>
          <w:sz w:val="28"/>
        </w:rPr>
        <w:t xml:space="preserve">En su justificación, el Pleno Regional explica que </w:t>
      </w:r>
      <w:r>
        <w:rPr>
          <w:rFonts w:ascii="Arial" w:hAnsi="Arial"/>
          <w:b w:val="0"/>
          <w:i/>
          <w:sz w:val="28"/>
        </w:rPr>
        <w:t>«la reposición del procedimiento por actualizarse litisconsorcio necesario, por regla general, pertenece al plano adjetivo, pues sólo reabre el trámite del juicio natural para integrar debidamente la relación jurídico-procesal, sin que ello constituya, por sí mismo, una privación actual del derecho sustantivo debatido»</w:t>
      </w:r>
      <w:r>
        <w:rPr>
          <w:rFonts w:ascii="Arial" w:hAnsi="Arial"/>
          <w:b w:val="0"/>
          <w:i w:val="0"/>
          <w:sz w:val="28"/>
        </w:rPr>
        <w:t>.</w:t>
      </w:r>
    </w:p>
    <w:p>
      <w:pPr>
        <w:spacing w:line="360" w:lineRule="auto"/>
        <w:jc w:val="both"/>
      </w:pPr>
      <w:r>
        <w:rPr>
          <w:rFonts w:ascii="Arial" w:hAnsi="Arial"/>
          <w:b w:val="0"/>
          <w:i w:val="0"/>
          <w:sz w:val="28"/>
        </w:rPr>
        <w:t xml:space="preserve">Y añade, en un pasaje que este concepto hace suyo: </w:t>
      </w:r>
      <w:r>
        <w:rPr>
          <w:rFonts w:ascii="Arial" w:hAnsi="Arial"/>
          <w:b w:val="0"/>
          <w:i/>
          <w:sz w:val="28"/>
        </w:rPr>
        <w:t>«La edad constituye un dato relevante para exigir mayor diligencia judicial, pero no un elemento suficiente, por sí solo, para desnaturalizar la conclusión de que la reposición del procedimiento por litisconsorcio necesario sigue siendo, en principio, de índole procesal y no sustantiva»</w:t>
      </w:r>
      <w:r>
        <w:rPr>
          <w:rFonts w:ascii="Arial" w:hAnsi="Arial"/>
          <w:b w:val="0"/>
          <w:i w:val="0"/>
          <w:sz w:val="28"/>
        </w:rPr>
        <w:t>.</w:t>
      </w:r>
    </w:p>
    <w:p>
      <w:pPr>
        <w:spacing w:line="360" w:lineRule="auto"/>
        <w:jc w:val="both"/>
      </w:pPr>
      <w:r>
        <w:rPr>
          <w:rFonts w:ascii="Arial" w:hAnsi="Arial"/>
          <w:b w:val="0"/>
          <w:i w:val="0"/>
          <w:sz w:val="28"/>
        </w:rPr>
        <w:t>Dicho con franqueza, ese criterio no favorece a quien pretende reclamar la reposición en amparo indirecto; pero su razón de decidir es exactamente la que sostiene este concepto. Si la reposición es un acto de índole procesal, su control corresponde al amparo directo, donde el artículo 172, fracción XII, permite tener por violadas las leyes del procedimiento en casos análogos a los enunciados, y el artículo 174 impone a la persona quejosa precisar cómo trascendió la violación al resultado del fallo. Lo que el Pleno Regional cerró en el indirecto quedó abierto, por definición, en el directo.</w:t>
      </w:r>
    </w:p>
    <w:p>
      <w:pPr>
        <w:spacing w:line="360" w:lineRule="auto"/>
        <w:jc w:val="both"/>
      </w:pPr>
      <w:r>
        <w:rPr>
          <w:rFonts w:ascii="Arial" w:hAnsi="Arial"/>
          <w:b w:val="0"/>
          <w:i w:val="0"/>
          <w:sz w:val="28"/>
        </w:rPr>
        <w:t xml:space="preserve">El segundo bloque de la premisa mayor es el litisconsorcio necesario. Conforme al artículo </w:t>
      </w:r>
      <w:r>
        <w:rPr>
          <w:rFonts w:ascii="Arial" w:hAnsi="Arial"/>
          <w:b/>
          <w:i w:val="0"/>
          <w:sz w:val="28"/>
        </w:rPr>
        <w:t>[ARTÍCULO DEL CÓDIGO PROCESAL APLICABLE]</w:t>
      </w:r>
      <w:r>
        <w:rPr>
          <w:rFonts w:ascii="Arial" w:hAnsi="Arial"/>
          <w:b w:val="0"/>
          <w:i w:val="0"/>
          <w:sz w:val="28"/>
        </w:rPr>
        <w:t xml:space="preserve">, sólo existe cuando la relación jurídica sustancial es única e indivisible, de suerte que la sentencia no puede pronunciarse válidamente sino frente a todas las personas que la integran. La propia jurisprudencia describe la reposición como el medio para </w:t>
      </w:r>
      <w:r>
        <w:rPr>
          <w:rFonts w:ascii="Arial" w:hAnsi="Arial"/>
          <w:b w:val="0"/>
          <w:i/>
          <w:sz w:val="28"/>
        </w:rPr>
        <w:t>«integrar debidamente la relación jurídico-procesal»</w:t>
      </w:r>
      <w:r>
        <w:rPr>
          <w:rFonts w:ascii="Arial" w:hAnsi="Arial"/>
          <w:b w:val="0"/>
          <w:i w:val="0"/>
          <w:sz w:val="28"/>
        </w:rPr>
        <w:t>; por ello, cuando la relación ya está integrada, porque la persona llamada no es titular de ella, la reposición carece de causa y se convierte en una dilación sin objeto.</w:t>
      </w:r>
    </w:p>
    <w:p>
      <w:pPr>
        <w:spacing w:line="360" w:lineRule="auto"/>
        <w:jc w:val="both"/>
      </w:pPr>
      <w:r>
        <w:rPr>
          <w:rFonts w:ascii="Arial" w:hAnsi="Arial"/>
          <w:b w:val="0"/>
          <w:i w:val="0"/>
          <w:sz w:val="28"/>
        </w:rPr>
        <w:t>Esa dilación no es inocua. La protección judicial debe ser expedita y pronta, de modo que los juicios se resuelvan en un tiempo razonablemente breve y la sentencia resulte formal y materialmente oportuna, evitando dilaciones indebidas que a la postre se traduzcan en denegación de justicia.</w:t>
      </w:r>
      <w:r>
        <w:rPr>
          <w:rFonts w:ascii="Arial" w:hAnsi="Arial"/>
          <w:vertAlign w:val="superscript"/>
        </w:rPr>
        <w:t>4</w:t>
      </w:r>
      <w:r>
        <w:rPr>
          <w:rFonts w:ascii="Arial" w:hAnsi="Arial"/>
          <w:b w:val="0"/>
          <w:i w:val="0"/>
          <w:sz w:val="28"/>
        </w:rPr>
        <w:t xml:space="preserve"> La doctrina lo resume en la máxima de que la justicia retrasada es justicia denegada, que impone al órgano jurisdiccional la obligación de observar con diligencia los plazos del proceso y reconoce a la persona el derecho fundamental correlativo; una reposición ordenada sin causa legal es la negación de esa diligencia.</w:t>
      </w:r>
      <w:r>
        <w:rPr>
          <w:rFonts w:ascii="Arial" w:hAnsi="Arial"/>
          <w:vertAlign w:val="superscript"/>
        </w:rPr>
        <w:t>5</w:t>
      </w:r>
    </w:p>
    <w:p>
      <w:pPr>
        <w:spacing w:line="360" w:lineRule="auto"/>
        <w:jc w:val="both"/>
      </w:pPr>
      <w:r>
        <w:rPr>
          <w:rFonts w:ascii="Arial" w:hAnsi="Arial"/>
          <w:b w:val="0"/>
          <w:i w:val="0"/>
          <w:sz w:val="28"/>
        </w:rPr>
        <w:t>Por último, la propia jurisprudencia preserva la tutela reforzada de las personas mayores y los deberes de trato preferencial, ajustes procedimentales, debida diligencia y expeditez previstos en el artículo 31 de la Convención Interamericana sobre la Protección de los Derechos Humanos de las Personas Mayores. Ese mandato, invocable como norma conforme al artículo 1o. constitucional, no abre el amparo indirecto, pero sí obliga a examinar esta violación procesal con prioridad y rigor, pues la persona quejosa lleva ya dos procedimientos completos a cuestas por un vicio ajeno.</w:t>
      </w:r>
    </w:p>
    <w:p>
      <w:pPr>
        <w:spacing w:line="360" w:lineRule="auto"/>
        <w:jc w:val="both"/>
      </w:pPr>
      <w:r>
        <w:rPr>
          <w:rFonts w:ascii="Arial" w:hAnsi="Arial"/>
          <w:b/>
          <w:sz w:val="28"/>
        </w:rPr>
        <w:t>IV. Aplicación al caso concreto y refutación de la resolución que ordenó la reposición.</w:t>
      </w:r>
    </w:p>
    <w:p>
      <w:pPr>
        <w:spacing w:line="360" w:lineRule="auto"/>
        <w:jc w:val="both"/>
      </w:pPr>
      <w:r>
        <w:rPr>
          <w:rFonts w:ascii="Arial" w:hAnsi="Arial"/>
          <w:b w:val="0"/>
          <w:i w:val="0"/>
          <w:sz w:val="28"/>
        </w:rPr>
        <w:t xml:space="preserve">Las constancias del juicio de origen acreditan la secuencia. La sentencia de primera instancia acogió la pretensión de </w:t>
      </w:r>
      <w:r>
        <w:rPr>
          <w:rFonts w:ascii="Arial" w:hAnsi="Arial"/>
          <w:b/>
          <w:i w:val="0"/>
          <w:sz w:val="28"/>
        </w:rPr>
        <w:t>[NOMBRE DE LA PERSONA QUEJOSA]</w:t>
      </w:r>
      <w:r>
        <w:rPr>
          <w:rFonts w:ascii="Arial" w:hAnsi="Arial"/>
          <w:b w:val="0"/>
          <w:i w:val="0"/>
          <w:sz w:val="28"/>
        </w:rPr>
        <w:t xml:space="preserve">. Al conocer de la apelación en el toca </w:t>
      </w:r>
      <w:r>
        <w:rPr>
          <w:rFonts w:ascii="Arial" w:hAnsi="Arial"/>
          <w:b/>
          <w:i w:val="0"/>
          <w:sz w:val="28"/>
        </w:rPr>
        <w:t>[NÚMERO DEL TOCA DE APELACIÓN]</w:t>
      </w:r>
      <w:r>
        <w:rPr>
          <w:rFonts w:ascii="Arial" w:hAnsi="Arial"/>
          <w:b w:val="0"/>
          <w:i w:val="0"/>
          <w:sz w:val="28"/>
        </w:rPr>
        <w:t xml:space="preserve">, la </w:t>
      </w:r>
      <w:r>
        <w:rPr>
          <w:rFonts w:ascii="Arial" w:hAnsi="Arial"/>
          <w:b/>
          <w:i w:val="0"/>
          <w:sz w:val="28"/>
        </w:rPr>
        <w:t>[AUTORIDAD RESPONSABLE]</w:t>
      </w:r>
      <w:r>
        <w:rPr>
          <w:rFonts w:ascii="Arial" w:hAnsi="Arial"/>
          <w:b w:val="0"/>
          <w:i w:val="0"/>
          <w:sz w:val="28"/>
        </w:rPr>
        <w:t xml:space="preserve"> no examinó el fondo: revocó el fallo y ordenó reponer el procedimiento para emplazar a </w:t>
      </w:r>
      <w:r>
        <w:rPr>
          <w:rFonts w:ascii="Arial" w:hAnsi="Arial"/>
          <w:b/>
          <w:i w:val="0"/>
          <w:sz w:val="28"/>
        </w:rPr>
        <w:t>[NOMBRE DE LA PERSONA LLAMADA COMO LITISCONSORTE]</w:t>
      </w:r>
      <w:r>
        <w:rPr>
          <w:rFonts w:ascii="Arial" w:hAnsi="Arial"/>
          <w:b w:val="0"/>
          <w:i w:val="0"/>
          <w:sz w:val="28"/>
        </w:rPr>
        <w:t>, bajo la consideración de que existía un litisconsorcio necesario. El juicio se tramitó de nuevo en su integridad y culminó en la sentencia definitiva que aquí se reclama.</w:t>
      </w:r>
    </w:p>
    <w:p>
      <w:pPr>
        <w:spacing w:line="360" w:lineRule="auto"/>
        <w:jc w:val="both"/>
      </w:pPr>
      <w:r>
        <w:rPr>
          <w:rFonts w:ascii="Arial" w:hAnsi="Arial"/>
          <w:b w:val="0"/>
          <w:i w:val="0"/>
          <w:sz w:val="28"/>
        </w:rPr>
        <w:t xml:space="preserve">El litisconsorcio invocado no se actualizaba. </w:t>
      </w:r>
      <w:r>
        <w:rPr>
          <w:rFonts w:ascii="Arial" w:hAnsi="Arial"/>
          <w:b/>
          <w:i w:val="0"/>
          <w:sz w:val="28"/>
        </w:rPr>
        <w:t>[RAZÓN POR LA QUE NO SE ACTUALIZA EL LITISCONSORCIO]</w:t>
      </w:r>
      <w:r>
        <w:rPr>
          <w:rFonts w:ascii="Arial" w:hAnsi="Arial"/>
          <w:b w:val="0"/>
          <w:i w:val="0"/>
          <w:sz w:val="28"/>
        </w:rPr>
        <w:t>. Dicho de otro modo, la persona llamada no era titular de la relación jurídica sustancial debatida ni podía resultar vinculada por la sentencia, de modo que ésta podía dictarse válidamente, como de hecho se dictó en primera instancia, sin su intervención. La relación jurídico-procesal estaba integrada; no había nada que reintegrar.</w:t>
      </w:r>
    </w:p>
    <w:p>
      <w:pPr>
        <w:spacing w:line="360" w:lineRule="auto"/>
        <w:jc w:val="both"/>
      </w:pPr>
      <w:r>
        <w:rPr>
          <w:rFonts w:ascii="Arial" w:hAnsi="Arial"/>
          <w:b w:val="0"/>
          <w:i w:val="0"/>
          <w:sz w:val="28"/>
        </w:rPr>
        <w:t>La motivación de la alzada incurre, en primer término, en una falsa analogía. La doctrina de la argumentación explica que todo argumento analógico es falaz cuando no se apoya en una semejanza relevante u olvida las diferencias que impiden la conclusión.</w:t>
      </w:r>
      <w:r>
        <w:rPr>
          <w:rFonts w:ascii="Arial" w:hAnsi="Arial"/>
          <w:vertAlign w:val="superscript"/>
        </w:rPr>
        <w:t>6</w:t>
      </w:r>
      <w:r>
        <w:rPr>
          <w:rFonts w:ascii="Arial" w:hAnsi="Arial"/>
          <w:b w:val="0"/>
          <w:i w:val="0"/>
          <w:sz w:val="28"/>
        </w:rPr>
        <w:t xml:space="preserve"> Eso hizo el tribunal de apelación: equiparó el interés que una persona pueda tener en el resultado del juicio, o su mención en los hechos, con la titularidad de una relación jurídica indivisible, que es lo único que el artículo </w:t>
      </w:r>
      <w:r>
        <w:rPr>
          <w:rFonts w:ascii="Arial" w:hAnsi="Arial"/>
          <w:b/>
          <w:i w:val="0"/>
          <w:sz w:val="28"/>
        </w:rPr>
        <w:t>[ARTÍCULO DEL CÓDIGO PROCESAL APLICABLE]</w:t>
      </w:r>
      <w:r>
        <w:rPr>
          <w:rFonts w:ascii="Arial" w:hAnsi="Arial"/>
          <w:b w:val="0"/>
          <w:i w:val="0"/>
          <w:sz w:val="28"/>
        </w:rPr>
        <w:t xml:space="preserve"> exige para el litisconsorcio necesario.</w:t>
      </w:r>
    </w:p>
    <w:p>
      <w:pPr>
        <w:spacing w:line="360" w:lineRule="auto"/>
        <w:jc w:val="both"/>
      </w:pPr>
      <w:r>
        <w:rPr>
          <w:rFonts w:ascii="Arial" w:hAnsi="Arial"/>
          <w:b w:val="0"/>
          <w:i w:val="0"/>
          <w:sz w:val="28"/>
        </w:rPr>
        <w:t>En segundo término, la resolución comete la falacia del secundum quid, que consiste en aplicar rígidamente una regla como si no existieran excepciones, olvidando que en el caso particular concurre una circunstancia que la hace inaplicable.</w:t>
      </w:r>
      <w:r>
        <w:rPr>
          <w:rFonts w:ascii="Arial" w:hAnsi="Arial"/>
          <w:vertAlign w:val="superscript"/>
        </w:rPr>
        <w:t>7</w:t>
      </w:r>
      <w:r>
        <w:rPr>
          <w:rFonts w:ascii="Arial" w:hAnsi="Arial"/>
          <w:b w:val="0"/>
          <w:i w:val="0"/>
          <w:sz w:val="28"/>
        </w:rPr>
        <w:t xml:space="preserve"> La regla de que la sentencia debe dictarse frente a todas las personas interesadas tiene un presupuesto, la indivisibilidad de la relación; la alzada la aplicó sin verificar ese presupuesto y convirtió una garantía de audiencia ajena en un obstáculo para la tutela judicial de quien sí era parte.</w:t>
      </w:r>
    </w:p>
    <w:p>
      <w:pPr>
        <w:spacing w:line="360" w:lineRule="auto"/>
        <w:jc w:val="both"/>
      </w:pPr>
      <w:r>
        <w:rPr>
          <w:rFonts w:ascii="Arial" w:hAnsi="Arial"/>
          <w:b w:val="0"/>
          <w:i w:val="0"/>
          <w:sz w:val="28"/>
        </w:rPr>
        <w:t xml:space="preserve">La violación trascendió al resultado del fallo, como lo exige el artículo 174 de la Ley de Amparo, por tres razones que se precisan. Primera, privó a la persona quejosa de una sentencia favorable que, sin el vicio, habría sido materia de la apelación en cuanto al fondo. Segunda, el nuevo trámite incorporó defensas y pruebas de una persona que no debía ser parte, y la sentencia reclamada se apoya en ellas. Tercera, el sentido del fallo cambió en los términos ya expuestos: </w:t>
      </w:r>
      <w:r>
        <w:rPr>
          <w:rFonts w:ascii="Arial" w:hAnsi="Arial"/>
          <w:b/>
          <w:i w:val="0"/>
          <w:sz w:val="28"/>
        </w:rPr>
        <w:t>[CÓMO TRASCENDIÓ LA REPOSICIÓN AL RESULTADO DEL FALLO]</w:t>
      </w:r>
      <w:r>
        <w:rPr>
          <w:rFonts w:ascii="Arial" w:hAnsi="Arial"/>
          <w:b w:val="0"/>
          <w:i w:val="0"/>
          <w:sz w:val="28"/>
        </w:rPr>
        <w:t>.</w:t>
      </w:r>
    </w:p>
    <w:p>
      <w:pPr>
        <w:spacing w:line="360" w:lineRule="auto"/>
        <w:jc w:val="both"/>
      </w:pPr>
      <w:r>
        <w:rPr>
          <w:rFonts w:ascii="Arial" w:hAnsi="Arial"/>
          <w:b w:val="0"/>
          <w:i w:val="0"/>
          <w:sz w:val="28"/>
        </w:rPr>
        <w:t>No obsta que la violación provenga del tribunal de alzada y no del juzgado de origen, ni que no aparezca literalmente en el catálogo del artículo 172 de la Ley de Amparo. La fracción XII de ese precepto remite a los casos análogos a juicio del órgano de amparo, y una reposición ordenada fuera de los supuestos legales guarda analogía evidente con la práctica de diligencias judiciales en forma distinta de la prevenida por la ley, que la fracción XI enuncia. Lo decisivo es que se infringió la ley del procedimiento y que la infracción afectó las defensas de la persona quejosa.</w:t>
      </w:r>
    </w:p>
    <w:p>
      <w:pPr>
        <w:spacing w:line="360" w:lineRule="auto"/>
        <w:jc w:val="both"/>
      </w:pPr>
      <w:r>
        <w:rPr>
          <w:rFonts w:ascii="Arial" w:hAnsi="Arial"/>
          <w:b w:val="0"/>
          <w:i w:val="0"/>
          <w:sz w:val="28"/>
        </w:rPr>
        <w:t>Tampoco cabe oponer que la reposición fue consentida por no haberse reclamado en amparo indirecto. La jurisprudencia PR.A.C.CS. J/11 K (12a.) es categórica: ese acto no era de imposible reparación, ni siquiera por la edad muy avanzada de la persona quejosa, de modo que la vía indirecta no estaba disponible. Exigir que se hubiera intentado un juicio improcedente, para después tener por consentido el acto, sería una petición imposible. Y conforme al artículo 174, último párrafo, la preclusión sólo opera respecto de violaciones no invocadas en un amparo anterior, lo que aquí no ocurre.</w:t>
      </w:r>
    </w:p>
    <w:p>
      <w:pPr>
        <w:spacing w:line="360" w:lineRule="auto"/>
        <w:jc w:val="both"/>
      </w:pPr>
      <w:r>
        <w:rPr>
          <w:rFonts w:ascii="Arial" w:hAnsi="Arial"/>
          <w:b w:val="0"/>
          <w:i w:val="0"/>
          <w:sz w:val="28"/>
        </w:rPr>
        <w:t xml:space="preserve">Finalmente, ninguna razón de economía procesal justifica mantener la reposición. Cuando el artículo 17 constitucional ordena privilegiar la solución del conflicto sobre los formalismos procedimentales, lo hace a condición de que no se afecte el debido proceso; aquí ocurrió lo inverso: un formalismo mal aplicado, el llamamiento de una litisconsorte inexistente, desplazó la solución del conflicto y duplicó la duración de un juicio en el que la persona quejosa tiene </w:t>
      </w:r>
      <w:r>
        <w:rPr>
          <w:rFonts w:ascii="Arial" w:hAnsi="Arial"/>
          <w:b/>
          <w:i w:val="0"/>
          <w:sz w:val="28"/>
        </w:rPr>
        <w:t>[EDAD DE LA PERSONA QUEJOSA]</w:t>
      </w:r>
      <w:r>
        <w:rPr>
          <w:rFonts w:ascii="Arial" w:hAnsi="Arial"/>
          <w:b w:val="0"/>
          <w:i w:val="0"/>
          <w:sz w:val="28"/>
        </w:rPr>
        <w:t xml:space="preserve"> años.</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resolución que ordenó reponer el procedimiento por litisconsorcio necesario es un acto de naturaleza procesal que, conforme a la jurisprudencia invocada, no podía reclamarse en amparo indirecto; su examen corresponde a este juicio de amparo directo, como violación procesal, en términos de los artículos 170, fracción I, 171, 172, fracción XII, y 174 de la Ley de Amparo; el litisconsorcio invocado no se actualizaba; y la reposición afectó las defensas de la persona quejosa y trascendió al resultado del fallo.</w:t>
      </w:r>
    </w:p>
    <w:p>
      <w:pPr>
        <w:spacing w:line="360" w:lineRule="auto"/>
        <w:jc w:val="both"/>
      </w:pPr>
      <w:r>
        <w:rPr>
          <w:rFonts w:ascii="Arial" w:hAnsi="Arial"/>
          <w:b w:val="0"/>
          <w:i w:val="0"/>
          <w:sz w:val="28"/>
        </w:rPr>
        <w:t xml:space="preserve">Por lo expuesto, procede declarar fundado el presente concepto de violación y conceder el amparo y la protección de la Justicia Federal para el efecto de que la </w:t>
      </w:r>
      <w:r>
        <w:rPr>
          <w:rFonts w:ascii="Arial" w:hAnsi="Arial"/>
          <w:b/>
          <w:i w:val="0"/>
          <w:sz w:val="28"/>
        </w:rPr>
        <w:t>[AUTORIDAD RESPONSABLE]</w:t>
      </w:r>
      <w:r>
        <w:rPr>
          <w:rFonts w:ascii="Arial" w:hAnsi="Arial"/>
          <w:b w:val="0"/>
          <w:i w:val="0"/>
          <w:sz w:val="28"/>
        </w:rPr>
        <w:t xml:space="preserve"> deje insubsistente la sentencia reclamada, declare insubsistente la resolución de </w:t>
      </w:r>
      <w:r>
        <w:rPr>
          <w:rFonts w:ascii="Arial" w:hAnsi="Arial"/>
          <w:b/>
          <w:i w:val="0"/>
          <w:sz w:val="28"/>
        </w:rPr>
        <w:t>[FECHA DE LA RESOLUCIÓN QUE ORDENÓ LA REPOSICIÓN]</w:t>
      </w:r>
      <w:r>
        <w:rPr>
          <w:rFonts w:ascii="Arial" w:hAnsi="Arial"/>
          <w:b w:val="0"/>
          <w:i w:val="0"/>
          <w:sz w:val="28"/>
        </w:rPr>
        <w:t xml:space="preserve"> y todo lo actuado a partir de ella, y resuelva con plenitud de jurisdicción el recurso de apelación originalmente interpuesto contra la sentencia de primera instancia, sin exigir la integración de un litisconsorcio que no existe.</w:t>
      </w:r>
    </w:p>
    <w:p>
      <w:pPr>
        <w:spacing w:line="360" w:lineRule="auto"/>
        <w:jc w:val="both"/>
      </w:pPr>
      <w:r>
        <w:rPr>
          <w:rFonts w:ascii="Arial" w:hAnsi="Arial"/>
          <w:b w:val="0"/>
          <w:i w:val="0"/>
          <w:sz w:val="28"/>
        </w:rPr>
        <w:t>Se solicita el estudio preferente de este concepto, porque su acogimiento hace innecesario el examen de los restantes y otorga a la persona quejosa el mayor beneficio jurídico posible; y se pide, en atención a su edad y a los deberes de diligencia y expeditez que la propia jurisprudencia reconoce, que el asunto se resuelva con la prioridad que su situación demanda.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 pp. 215-216.</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62.</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FERRER MAC-GREGOR, op. cit.</w:t>
      </w:r>
      <w:r>
        <w:rPr>
          <w:rFonts w:ascii="Arial" w:hAnsi="Arial"/>
          <w:i w:val="0"/>
          <w:sz w:val="20"/>
        </w:rPr>
        <w:t>, p. 133.</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FERRER MAC-GREGOR, op. cit.</w:t>
      </w:r>
      <w:r>
        <w:rPr>
          <w:rFonts w:ascii="Arial" w:hAnsi="Arial"/>
          <w:i w:val="0"/>
          <w:sz w:val="20"/>
        </w:rPr>
        <w:t>, p. 660.</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341.</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9.</w:t>
      </w:r>
    </w:p>
    <w:p>
      <w:pPr>
        <w:spacing w:after="60"/>
        <w:ind w:left="360" w:hanging="360"/>
        <w:jc w:val="both"/>
      </w:pPr>
      <w:r>
        <w:rPr>
          <w:rFonts w:ascii="Arial" w:hAnsi="Arial"/>
          <w:sz w:val="20"/>
          <w:vertAlign w:val="superscript"/>
        </w:rPr>
        <w:t>7</w:t>
      </w:r>
      <w:r>
        <w:rPr>
          <w:sz w:val="20"/>
        </w:rPr>
        <w:t xml:space="preserve"> </w:t>
      </w:r>
      <w:r>
        <w:rPr>
          <w:rFonts w:ascii="Arial" w:hAnsi="Arial"/>
          <w:i w:val="0"/>
          <w:sz w:val="20"/>
        </w:rPr>
        <w:t>GARCÍA DAMBORENEA, op. cit.</w:t>
      </w:r>
      <w:r>
        <w:rPr>
          <w:rFonts w:ascii="Arial" w:hAnsi="Arial"/>
          <w:i w:val="0"/>
          <w:sz w:val="20"/>
        </w:rPr>
        <w:t>, p. 84.</w:t>
      </w:r>
    </w:p>
    <w:p/>
    <w:p>
      <w:r>
        <w:rPr>
          <w:rFonts w:ascii="Arial" w:hAnsi="Arial"/>
          <w:b/>
          <w:sz w:val="22"/>
        </w:rPr>
        <w:t>BIBLIOGRAFÍA</w:t>
      </w:r>
    </w:p>
    <w:p>
      <w:pPr>
        <w:spacing w:after="60"/>
        <w:ind w:left="360" w:hanging="360"/>
        <w:jc w:val="both"/>
      </w:pP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