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Arial" w:hAnsi="Arial"/>
          <w:b/>
          <w:sz w:val="28"/>
        </w:rPr>
        <w:t>MACHOTE. AMPARO DIRECTO LABORAL. VIOLACIÓN PROCESAL POR DESECHAMIENTO DE LA PRUEBA DE INSPECCIÓN</w:t>
      </w:r>
    </w:p>
    <w:p>
      <w:pPr>
        <w:jc w:val="center"/>
      </w:pPr>
      <w:r>
        <w:rPr>
          <w:rFonts w:ascii="Arial" w:hAnsi="Arial"/>
          <w:sz w:val="20"/>
        </w:rPr>
        <w:t>Machote gratuito de Academia de Amparo y Derecho — academiadeamparo.com</w:t>
      </w:r>
    </w:p>
    <w:p/>
    <w:p>
      <w:r>
        <w:rPr>
          <w:rFonts w:ascii="Arial" w:hAnsi="Arial"/>
          <w:b/>
          <w:sz w:val="24"/>
        </w:rPr>
        <w:t>CÓMO USAR ESTE MACHOTE</w:t>
      </w:r>
    </w:p>
    <w:p>
      <w:pPr>
        <w:spacing w:line="360" w:lineRule="auto"/>
        <w:jc w:val="both"/>
      </w:pPr>
      <w:r>
        <w:rPr>
          <w:rFonts w:ascii="Arial" w:hAnsi="Arial"/>
          <w:b w:val="0"/>
          <w:i w:val="0"/>
          <w:sz w:val="24"/>
        </w:rPr>
        <w:t>Descarga el machote, léelo completo y adapta el concepto de violación a tu demanda de amparo directo. Primero reúne tres documentos: el escrito en que ofreciste la prueba de inspección, el acuerdo que la desechó y el laudo o sentencia definitiva. Verifica que tu ofrecimiento identificaba los documentos o el lugar, el periodo y los hechos a acreditar, y ubica en la resolución de fondo el pronunciamiento que se apoyó en la falta de esa prueba: ahí está la trascendencia al resultado del fallo.</w:t>
      </w:r>
    </w:p>
    <w:p>
      <w:pPr>
        <w:spacing w:line="360" w:lineRule="auto"/>
        <w:jc w:val="both"/>
      </w:pPr>
      <w:r>
        <w:rPr>
          <w:rFonts w:ascii="Arial" w:hAnsi="Arial"/>
          <w:b w:val="0"/>
          <w:i w:val="0"/>
          <w:sz w:val="24"/>
        </w:rPr>
        <w:t>Si representas a la parte trabajadora, conserva el párrafo que invoca la exención de preparación de la violación procesal; si representas a la parte patronal, describe el medio de defensa o la manifestación que hiciste valer contra el desechamiento. Después llena los campos editables, transcribe con fidelidad el razonamiento del acuerdo y confirma cada dato contra tus constancias. Presenta la demanda dentro del plazo que fija la Ley de Amparo para el amparo directo, contado a partir de la notificación del laudo o sentencia.</w:t>
      </w:r>
    </w:p>
    <w:p>
      <w:pPr>
        <w:spacing w:line="360" w:lineRule="auto"/>
        <w:jc w:val="both"/>
      </w:pPr>
      <w:r>
        <w:rPr>
          <w:rFonts w:ascii="Arial" w:hAnsi="Arial"/>
          <w:b w:val="0"/>
          <w:i w:val="0"/>
          <w:sz w:val="24"/>
        </w:rPr>
        <w:t>Campos editables y qué poner en cada uno:</w:t>
      </w:r>
    </w:p>
    <w:p>
      <w:pPr>
        <w:spacing w:line="360" w:lineRule="auto"/>
        <w:jc w:val="both"/>
      </w:pPr>
      <w:r>
        <w:rPr>
          <w:rFonts w:ascii="Arial" w:hAnsi="Arial"/>
          <w:b/>
          <w:i w:val="0"/>
          <w:sz w:val="24"/>
        </w:rPr>
        <w:t>[NÚMERO ORDINAL DEL CONCEPTO]</w:t>
      </w:r>
      <w:r>
        <w:rPr>
          <w:rFonts w:ascii="Arial" w:hAnsi="Arial"/>
          <w:b w:val="0"/>
          <w:i w:val="0"/>
          <w:sz w:val="24"/>
        </w:rPr>
        <w:t>: el ordinal que le corresponda en tu demanda (PRIMERO, SEGUNDO…).</w:t>
      </w:r>
    </w:p>
    <w:p>
      <w:pPr>
        <w:spacing w:line="360" w:lineRule="auto"/>
        <w:jc w:val="both"/>
      </w:pPr>
      <w:r>
        <w:rPr>
          <w:rFonts w:ascii="Arial" w:hAnsi="Arial"/>
          <w:b/>
          <w:i w:val="0"/>
          <w:sz w:val="24"/>
        </w:rPr>
        <w:t>[TRIBUNAL LABORAL RESPONSABLE]</w:t>
      </w:r>
      <w:r>
        <w:rPr>
          <w:rFonts w:ascii="Arial" w:hAnsi="Arial"/>
          <w:b w:val="0"/>
          <w:i w:val="0"/>
          <w:sz w:val="24"/>
        </w:rPr>
        <w:t>: la denominación completa del tribunal laboral que dictó el laudo o sentencia y el acuerdo de desechamiento.</w:t>
      </w:r>
    </w:p>
    <w:p>
      <w:pPr>
        <w:spacing w:line="360" w:lineRule="auto"/>
        <w:jc w:val="both"/>
      </w:pPr>
      <w:r>
        <w:rPr>
          <w:rFonts w:ascii="Arial" w:hAnsi="Arial"/>
          <w:b/>
          <w:i w:val="0"/>
          <w:sz w:val="24"/>
        </w:rPr>
        <w:t>[FECHA DEL ACUERDO QUE DESECHÓ LA INSPECCIÓN]</w:t>
      </w:r>
      <w:r>
        <w:rPr>
          <w:rFonts w:ascii="Arial" w:hAnsi="Arial"/>
          <w:b w:val="0"/>
          <w:i w:val="0"/>
          <w:sz w:val="24"/>
        </w:rPr>
        <w:t>: la fecha exacta del acuerdo que rechazó la prueba.</w:t>
      </w:r>
    </w:p>
    <w:p>
      <w:pPr>
        <w:spacing w:line="360" w:lineRule="auto"/>
        <w:jc w:val="both"/>
      </w:pPr>
      <w:r>
        <w:rPr>
          <w:rFonts w:ascii="Arial" w:hAnsi="Arial"/>
          <w:b/>
          <w:i w:val="0"/>
          <w:sz w:val="24"/>
        </w:rPr>
        <w:t>[NÚMERO DE EXPEDIENTE LABORAL]</w:t>
      </w:r>
      <w:r>
        <w:rPr>
          <w:rFonts w:ascii="Arial" w:hAnsi="Arial"/>
          <w:b w:val="0"/>
          <w:i w:val="0"/>
          <w:sz w:val="24"/>
        </w:rPr>
        <w:t>: el número del juicio de origen.</w:t>
      </w:r>
    </w:p>
    <w:p>
      <w:pPr>
        <w:spacing w:line="360" w:lineRule="auto"/>
        <w:jc w:val="both"/>
      </w:pPr>
      <w:r>
        <w:rPr>
          <w:rFonts w:ascii="Arial" w:hAnsi="Arial"/>
          <w:b/>
          <w:i w:val="0"/>
          <w:sz w:val="24"/>
        </w:rPr>
        <w:t>[NOMBRE DE LA PERSONA QUEJOSA]</w:t>
      </w:r>
      <w:r>
        <w:rPr>
          <w:rFonts w:ascii="Arial" w:hAnsi="Arial"/>
          <w:b w:val="0"/>
          <w:i w:val="0"/>
          <w:sz w:val="24"/>
        </w:rPr>
        <w:t>: la parte que ofreció la inspección y promueve el amparo.</w:t>
      </w:r>
    </w:p>
    <w:p>
      <w:pPr>
        <w:spacing w:line="360" w:lineRule="auto"/>
        <w:jc w:val="both"/>
      </w:pPr>
      <w:r>
        <w:rPr>
          <w:rFonts w:ascii="Arial" w:hAnsi="Arial"/>
          <w:b/>
          <w:i w:val="0"/>
          <w:sz w:val="24"/>
        </w:rPr>
        <w:t>[HECHOS QUE SE PRETENDÍAN ACREDITAR CON LA INSPECCIÓN]</w:t>
      </w:r>
      <w:r>
        <w:rPr>
          <w:rFonts w:ascii="Arial" w:hAnsi="Arial"/>
          <w:b w:val="0"/>
          <w:i w:val="0"/>
          <w:sz w:val="24"/>
        </w:rPr>
        <w:t>: los hechos señalados en tu ofrecimiento, en los mismos términos en que los redactaste.</w:t>
      </w:r>
    </w:p>
    <w:p>
      <w:pPr>
        <w:spacing w:line="360" w:lineRule="auto"/>
        <w:jc w:val="both"/>
      </w:pPr>
      <w:r>
        <w:rPr>
          <w:rFonts w:ascii="Arial" w:hAnsi="Arial"/>
          <w:b/>
          <w:i w:val="0"/>
          <w:sz w:val="24"/>
        </w:rPr>
        <w:t>[PRESTACIÓN O HECHO CONTROVERTIDO AL QUE TRASCENDIÓ]</w:t>
      </w:r>
      <w:r>
        <w:rPr>
          <w:rFonts w:ascii="Arial" w:hAnsi="Arial"/>
          <w:b w:val="0"/>
          <w:i w:val="0"/>
          <w:sz w:val="24"/>
        </w:rPr>
        <w:t>: la prestación o el hecho que el laudo resolvió en tu contra por falta de prueba.</w:t>
      </w:r>
    </w:p>
    <w:p>
      <w:pPr>
        <w:spacing w:line="360" w:lineRule="auto"/>
        <w:jc w:val="both"/>
      </w:pPr>
      <w:r>
        <w:rPr>
          <w:rFonts w:ascii="Arial" w:hAnsi="Arial"/>
          <w:b/>
          <w:i w:val="0"/>
          <w:sz w:val="24"/>
        </w:rPr>
        <w:t>[FECHA DEL LAUDO O SENTENCIA RECLAMADA]</w:t>
      </w:r>
      <w:r>
        <w:rPr>
          <w:rFonts w:ascii="Arial" w:hAnsi="Arial"/>
          <w:b w:val="0"/>
          <w:i w:val="0"/>
          <w:sz w:val="24"/>
        </w:rPr>
        <w:t>: la fecha de la resolución definitiva que reclamas.</w:t>
      </w:r>
    </w:p>
    <w:p>
      <w:pPr>
        <w:spacing w:line="360" w:lineRule="auto"/>
        <w:jc w:val="both"/>
      </w:pPr>
      <w:r>
        <w:rPr>
          <w:rFonts w:ascii="Arial" w:hAnsi="Arial"/>
          <w:b/>
          <w:i w:val="0"/>
          <w:sz w:val="24"/>
        </w:rPr>
        <w:t>[FECHA DEL ESCRITO DE OFRECIMIENTO DE PRUEBAS]</w:t>
      </w:r>
      <w:r>
        <w:rPr>
          <w:rFonts w:ascii="Arial" w:hAnsi="Arial"/>
          <w:b w:val="0"/>
          <w:i w:val="0"/>
          <w:sz w:val="24"/>
        </w:rPr>
        <w:t>: la fecha de presentación del escrito donde ofreciste la inspección.</w:t>
      </w:r>
    </w:p>
    <w:p>
      <w:pPr>
        <w:spacing w:line="360" w:lineRule="auto"/>
        <w:jc w:val="both"/>
      </w:pPr>
      <w:r>
        <w:rPr>
          <w:rFonts w:ascii="Arial" w:hAnsi="Arial"/>
          <w:b/>
          <w:i w:val="0"/>
          <w:sz w:val="24"/>
        </w:rPr>
        <w:t>[MEDIO DE DEFENSA O MANIFESTACIÓN PREVIA CONTRA EL DESECHAMIENTO]</w:t>
      </w:r>
      <w:r>
        <w:rPr>
          <w:rFonts w:ascii="Arial" w:hAnsi="Arial"/>
          <w:b w:val="0"/>
          <w:i w:val="0"/>
          <w:sz w:val="24"/>
        </w:rPr>
        <w:t>: el recurso o la manifestación que hiciste valer contra el acuerdo, o la explicación de que la parte trabajadora no está obligada a prepararla.</w:t>
      </w:r>
    </w:p>
    <w:p>
      <w:pPr>
        <w:spacing w:line="360" w:lineRule="auto"/>
        <w:jc w:val="both"/>
      </w:pPr>
      <w:r>
        <w:rPr>
          <w:rFonts w:ascii="Arial" w:hAnsi="Arial"/>
          <w:b/>
          <w:i w:val="0"/>
          <w:sz w:val="24"/>
        </w:rPr>
        <w:t>[DOCUMENTOS O LUGAR MATERIA DE LA INSPECCIÓN]</w:t>
      </w:r>
      <w:r>
        <w:rPr>
          <w:rFonts w:ascii="Arial" w:hAnsi="Arial"/>
          <w:b w:val="0"/>
          <w:i w:val="0"/>
          <w:sz w:val="24"/>
        </w:rPr>
        <w:t>: los documentos, registros o instalaciones que debían inspeccionarse.</w:t>
      </w:r>
    </w:p>
    <w:p>
      <w:pPr>
        <w:spacing w:line="360" w:lineRule="auto"/>
        <w:jc w:val="both"/>
      </w:pPr>
      <w:r>
        <w:rPr>
          <w:rFonts w:ascii="Arial" w:hAnsi="Arial"/>
          <w:b/>
          <w:i w:val="0"/>
          <w:sz w:val="24"/>
        </w:rPr>
        <w:t>[PERIODO QUE ABARCA LA INSPECCIÓN]</w:t>
      </w:r>
      <w:r>
        <w:rPr>
          <w:rFonts w:ascii="Arial" w:hAnsi="Arial"/>
          <w:b w:val="0"/>
          <w:i w:val="0"/>
          <w:sz w:val="24"/>
        </w:rPr>
        <w:t>: las fechas o el lapso que señalaste en el ofrecimiento.</w:t>
      </w:r>
    </w:p>
    <w:p>
      <w:pPr>
        <w:spacing w:line="360" w:lineRule="auto"/>
        <w:jc w:val="both"/>
      </w:pPr>
      <w:r>
        <w:rPr>
          <w:rFonts w:ascii="Arial" w:hAnsi="Arial"/>
          <w:b/>
          <w:i w:val="0"/>
          <w:sz w:val="24"/>
        </w:rPr>
        <w:t>[PARTE CONTRARIA]</w:t>
      </w:r>
      <w:r>
        <w:rPr>
          <w:rFonts w:ascii="Arial" w:hAnsi="Arial"/>
          <w:b w:val="0"/>
          <w:i w:val="0"/>
          <w:sz w:val="24"/>
        </w:rPr>
        <w:t>: la parte en cuyo poder se encuentran los documentos, normalmente la patronal.</w:t>
      </w:r>
    </w:p>
    <w:p>
      <w:pPr>
        <w:spacing w:line="360" w:lineRule="auto"/>
        <w:jc w:val="both"/>
      </w:pPr>
      <w:r>
        <w:rPr>
          <w:rFonts w:ascii="Arial" w:hAnsi="Arial"/>
          <w:b/>
          <w:i w:val="0"/>
          <w:sz w:val="24"/>
        </w:rPr>
        <w:t>[TRANSCRIPCIÓN DEL RAZONAMIENTO DEL ACUERDO DE DESECHAMIENTO]</w:t>
      </w:r>
      <w:r>
        <w:rPr>
          <w:rFonts w:ascii="Arial" w:hAnsi="Arial"/>
          <w:b w:val="0"/>
          <w:i w:val="0"/>
          <w:sz w:val="24"/>
        </w:rPr>
        <w:t>: la parte del acuerdo en que el tribunal explica por qué desechó la prueba, transcrita de forma literal.</w:t>
      </w:r>
    </w:p>
    <w:p/>
    <w:p>
      <w:pPr>
        <w:spacing w:line="360" w:lineRule="auto"/>
        <w:jc w:val="both"/>
      </w:pPr>
      <w:r>
        <w:rPr>
          <w:rFonts w:ascii="Arial" w:hAnsi="Arial"/>
          <w:b/>
          <w:sz w:val="28"/>
        </w:rPr>
        <w:t>[NÚMERO ORDINAL DEL CONCEPTO] CONCEPTO DE VIOLACIÓN. Violación procesal por desechamiento de la prueba de inspección legalmente ofrecida. El Tribunal Laboral desechó la inspección por no precisarse su objeto, pese a que éste se desprendía de los documentos, el periodo y los hechos señalados en el ofrecimiento, contra la interpretación funcional del artículo 827, párrafo primero, de la Ley Federal del Trabajo fijada por el Pleno de la Suprema Corte en la jurisprudencia P./J. 170/2026 (12a.), lo que actualiza el artículo 172, fracción III, de la Ley de Amparo y trascendió al resultado del fallo.</w:t>
      </w:r>
    </w:p>
    <w:p>
      <w:pPr>
        <w:spacing w:line="360" w:lineRule="auto"/>
        <w:jc w:val="both"/>
      </w:pPr>
      <w:r>
        <w:rPr>
          <w:rFonts w:ascii="Arial" w:hAnsi="Arial"/>
          <w:b/>
          <w:sz w:val="28"/>
        </w:rPr>
        <w:t>I. Síntesis del concepto.</w:t>
      </w:r>
    </w:p>
    <w:p>
      <w:pPr>
        <w:spacing w:line="360" w:lineRule="auto"/>
        <w:jc w:val="both"/>
      </w:pPr>
      <w:r>
        <w:rPr>
          <w:rFonts w:ascii="Arial" w:hAnsi="Arial"/>
          <w:b w:val="0"/>
          <w:i w:val="0"/>
          <w:sz w:val="28"/>
        </w:rPr>
        <w:t xml:space="preserve">En este apartado se demostrará que el </w:t>
      </w:r>
      <w:r>
        <w:rPr>
          <w:rFonts w:ascii="Arial" w:hAnsi="Arial"/>
          <w:b/>
          <w:i w:val="0"/>
          <w:sz w:val="28"/>
        </w:rPr>
        <w:t>[TRIBUNAL LABORAL RESPONSABLE]</w:t>
      </w:r>
      <w:r>
        <w:rPr>
          <w:rFonts w:ascii="Arial" w:hAnsi="Arial"/>
          <w:b w:val="0"/>
          <w:i w:val="0"/>
          <w:sz w:val="28"/>
        </w:rPr>
        <w:t xml:space="preserve">, al dictar el acuerdo de </w:t>
      </w:r>
      <w:r>
        <w:rPr>
          <w:rFonts w:ascii="Arial" w:hAnsi="Arial"/>
          <w:b/>
          <w:i w:val="0"/>
          <w:sz w:val="28"/>
        </w:rPr>
        <w:t>[FECHA DEL ACUERDO QUE DESECHÓ LA INSPECCIÓN]</w:t>
      </w:r>
      <w:r>
        <w:rPr>
          <w:rFonts w:ascii="Arial" w:hAnsi="Arial"/>
          <w:b w:val="0"/>
          <w:i w:val="0"/>
          <w:sz w:val="28"/>
        </w:rPr>
        <w:t xml:space="preserve"> dentro del expediente </w:t>
      </w:r>
      <w:r>
        <w:rPr>
          <w:rFonts w:ascii="Arial" w:hAnsi="Arial"/>
          <w:b/>
          <w:i w:val="0"/>
          <w:sz w:val="28"/>
        </w:rPr>
        <w:t>[NÚMERO DE EXPEDIENTE LABORAL]</w:t>
      </w:r>
      <w:r>
        <w:rPr>
          <w:rFonts w:ascii="Arial" w:hAnsi="Arial"/>
          <w:b w:val="0"/>
          <w:i w:val="0"/>
          <w:sz w:val="28"/>
        </w:rPr>
        <w:t xml:space="preserve">, violó las leyes del procedimiento en perjuicio de </w:t>
      </w:r>
      <w:r>
        <w:rPr>
          <w:rFonts w:ascii="Arial" w:hAnsi="Arial"/>
          <w:b/>
          <w:i w:val="0"/>
          <w:sz w:val="28"/>
        </w:rPr>
        <w:t>[NOMBRE DE LA PERSONA QUEJOSA]</w:t>
      </w:r>
      <w:r>
        <w:rPr>
          <w:rFonts w:ascii="Arial" w:hAnsi="Arial"/>
          <w:b w:val="0"/>
          <w:i w:val="0"/>
          <w:sz w:val="28"/>
        </w:rPr>
        <w:t>, porque desechó la prueba de inspección que ofreció en tiempo y forma, bajo el único argumento de que el ofrecimiento no precisaba, en un enunciado separado y expreso, el objeto de la prueba.</w:t>
      </w:r>
    </w:p>
    <w:p>
      <w:pPr>
        <w:spacing w:line="360" w:lineRule="auto"/>
        <w:jc w:val="both"/>
      </w:pPr>
      <w:r>
        <w:rPr>
          <w:rFonts w:ascii="Arial" w:hAnsi="Arial"/>
          <w:b w:val="0"/>
          <w:i w:val="0"/>
          <w:sz w:val="28"/>
        </w:rPr>
        <w:t>La demostración descansa en una premisa sencilla: el artículo 827, párrafo primero, de la Ley Federal del Trabajo debe interpretarse de manera funcional y conforme al principio de realidad, de modo que el requisito de precisar el objeto de la inspección se entiende implícito en su ofrecimiento cuando puede identificarse razonablemente a partir de los documentos, el lugar, los periodos y los hechos que se pretenden acreditar. Así lo resolvió el Pleno de la Suprema Corte de Justicia de la Nación en jurisprudencia obligatoria para el Tribunal Colegiado que conocerá de este juicio.</w:t>
      </w:r>
    </w:p>
    <w:p>
      <w:pPr>
        <w:spacing w:line="360" w:lineRule="auto"/>
        <w:jc w:val="both"/>
      </w:pPr>
      <w:r>
        <w:rPr>
          <w:rFonts w:ascii="Arial" w:hAnsi="Arial"/>
          <w:b w:val="0"/>
          <w:i w:val="0"/>
          <w:sz w:val="28"/>
        </w:rPr>
        <w:t xml:space="preserve">Se demostrará, además, que el desechamiento no fue un incidente inocuo. La inspección estaba dirigida a acreditar </w:t>
      </w:r>
      <w:r>
        <w:rPr>
          <w:rFonts w:ascii="Arial" w:hAnsi="Arial"/>
          <w:b/>
          <w:i w:val="0"/>
          <w:sz w:val="28"/>
        </w:rPr>
        <w:t>[HECHOS QUE SE PRETENDÍAN ACREDITAR CON LA INSPECCIÓN]</w:t>
      </w:r>
      <w:r>
        <w:rPr>
          <w:rFonts w:ascii="Arial" w:hAnsi="Arial"/>
          <w:b w:val="0"/>
          <w:i w:val="0"/>
          <w:sz w:val="28"/>
        </w:rPr>
        <w:t xml:space="preserve">, hechos sobre los que descansó la decisión de fondo respecto de </w:t>
      </w:r>
      <w:r>
        <w:rPr>
          <w:rFonts w:ascii="Arial" w:hAnsi="Arial"/>
          <w:b/>
          <w:i w:val="0"/>
          <w:sz w:val="28"/>
        </w:rPr>
        <w:t>[PRESTACIÓN O HECHO CONTROVERTIDO AL QUE TRASCENDIÓ]</w:t>
      </w:r>
      <w:r>
        <w:rPr>
          <w:rFonts w:ascii="Arial" w:hAnsi="Arial"/>
          <w:b w:val="0"/>
          <w:i w:val="0"/>
          <w:sz w:val="28"/>
        </w:rPr>
        <w:t>; sin la prueba, el Tribunal Laboral resolvió ese punto con el material que la parte contraria quiso aportar, de manera que la violación afectó las defensas de la persona quejosa y trascendió al resultado del fallo.</w:t>
      </w:r>
    </w:p>
    <w:p>
      <w:pPr>
        <w:spacing w:line="360" w:lineRule="auto"/>
        <w:jc w:val="both"/>
      </w:pPr>
      <w:r>
        <w:rPr>
          <w:rFonts w:ascii="Arial" w:hAnsi="Arial"/>
          <w:b w:val="0"/>
          <w:i w:val="0"/>
          <w:sz w:val="28"/>
        </w:rPr>
        <w:t>Si la premisa se respeta, la conclusión es forzosa: se actualiza la violación procesal prevista en el artículo 172, fracción III, de la Ley de Amparo, y procede conceder la protección constitucional para el efecto de que se deje insubsistente el laudo o sentencia reclamada, se reponga el procedimiento a partir del acuerdo de desechamiento, se admita la inspección, se desahogue conforme a la ley y se dicte una nueva resolución en la que se valore su resultado.</w:t>
      </w:r>
    </w:p>
    <w:p>
      <w:pPr>
        <w:spacing w:line="360" w:lineRule="auto"/>
        <w:jc w:val="both"/>
      </w:pPr>
      <w:r>
        <w:rPr>
          <w:rFonts w:ascii="Arial" w:hAnsi="Arial"/>
          <w:b/>
          <w:sz w:val="28"/>
        </w:rPr>
        <w:t>II. Planteamiento.</w:t>
      </w:r>
    </w:p>
    <w:p>
      <w:pPr>
        <w:spacing w:line="360" w:lineRule="auto"/>
        <w:jc w:val="both"/>
      </w:pPr>
      <w:r>
        <w:rPr>
          <w:rFonts w:ascii="Arial" w:hAnsi="Arial"/>
          <w:b w:val="0"/>
          <w:i w:val="0"/>
          <w:sz w:val="28"/>
        </w:rPr>
        <w:t xml:space="preserve">El acto reclamado es el laudo o sentencia definitiva de </w:t>
      </w:r>
      <w:r>
        <w:rPr>
          <w:rFonts w:ascii="Arial" w:hAnsi="Arial"/>
          <w:b/>
          <w:i w:val="0"/>
          <w:sz w:val="28"/>
        </w:rPr>
        <w:t>[FECHA DEL LAUDO O SENTENCIA RECLAMADA]</w:t>
      </w:r>
      <w:r>
        <w:rPr>
          <w:rFonts w:ascii="Arial" w:hAnsi="Arial"/>
          <w:b w:val="0"/>
          <w:i w:val="0"/>
          <w:sz w:val="28"/>
        </w:rPr>
        <w:t xml:space="preserve">, dictado por el </w:t>
      </w:r>
      <w:r>
        <w:rPr>
          <w:rFonts w:ascii="Arial" w:hAnsi="Arial"/>
          <w:b/>
          <w:i w:val="0"/>
          <w:sz w:val="28"/>
        </w:rPr>
        <w:t>[TRIBUNAL LABORAL RESPONSABLE]</w:t>
      </w:r>
      <w:r>
        <w:rPr>
          <w:rFonts w:ascii="Arial" w:hAnsi="Arial"/>
          <w:b w:val="0"/>
          <w:i w:val="0"/>
          <w:sz w:val="28"/>
        </w:rPr>
        <w:t xml:space="preserve"> en el expediente </w:t>
      </w:r>
      <w:r>
        <w:rPr>
          <w:rFonts w:ascii="Arial" w:hAnsi="Arial"/>
          <w:b/>
          <w:i w:val="0"/>
          <w:sz w:val="28"/>
        </w:rPr>
        <w:t>[NÚMERO DE EXPEDIENTE LABORAL]</w:t>
      </w:r>
      <w:r>
        <w:rPr>
          <w:rFonts w:ascii="Arial" w:hAnsi="Arial"/>
          <w:b w:val="0"/>
          <w:i w:val="0"/>
          <w:sz w:val="28"/>
        </w:rPr>
        <w:t xml:space="preserve">, y, como violación cometida durante el procedimiento que afectó las defensas de la persona quejosa y trascendió al resultado del fallo, el acuerdo de </w:t>
      </w:r>
      <w:r>
        <w:rPr>
          <w:rFonts w:ascii="Arial" w:hAnsi="Arial"/>
          <w:b/>
          <w:i w:val="0"/>
          <w:sz w:val="28"/>
        </w:rPr>
        <w:t>[FECHA DEL ACUERDO QUE DESECHÓ LA INSPECCIÓN]</w:t>
      </w:r>
      <w:r>
        <w:rPr>
          <w:rFonts w:ascii="Arial" w:hAnsi="Arial"/>
          <w:b w:val="0"/>
          <w:i w:val="0"/>
          <w:sz w:val="28"/>
        </w:rPr>
        <w:t xml:space="preserve">, por el que se desechó la prueba de inspección ofrecida en el escrito de </w:t>
      </w:r>
      <w:r>
        <w:rPr>
          <w:rFonts w:ascii="Arial" w:hAnsi="Arial"/>
          <w:b/>
          <w:i w:val="0"/>
          <w:sz w:val="28"/>
        </w:rPr>
        <w:t>[FECHA DEL ESCRITO DE OFRECIMIENTO DE PRUEBAS]</w:t>
      </w:r>
      <w:r>
        <w:rPr>
          <w:rFonts w:ascii="Arial" w:hAnsi="Arial"/>
          <w:b w:val="0"/>
          <w:i w:val="0"/>
          <w:sz w:val="28"/>
        </w:rPr>
        <w:t>.</w:t>
      </w:r>
    </w:p>
    <w:p>
      <w:pPr>
        <w:spacing w:line="360" w:lineRule="auto"/>
        <w:jc w:val="both"/>
      </w:pPr>
      <w:r>
        <w:rPr>
          <w:rFonts w:ascii="Arial" w:hAnsi="Arial"/>
          <w:b w:val="0"/>
          <w:i w:val="0"/>
          <w:sz w:val="28"/>
        </w:rPr>
        <w:t>Las normas cuya inobservancia se plantea son el artículo 827, párrafo primero, de la Ley Federal del Trabajo, que fija los requisitos para ofrecer la prueba de inspección, interpretado conforme a la jurisprudencia P./J. 170/2026 (12a.) del Pleno de la Suprema Corte de Justicia de la Nación; los artículos 14, párrafo segundo, y 17, párrafo segundo, de la Constitución Política de los Estados Unidos Mexicanos, que garantizan la defensa adecuada y el acceso efectivo a la justicia; y el artículo 172, fracción III, de la Ley de Amparo, que califica como violación procesal el desechamiento de las pruebas legalmente ofrecidas.</w:t>
      </w:r>
    </w:p>
    <w:p>
      <w:pPr>
        <w:spacing w:line="360" w:lineRule="auto"/>
        <w:jc w:val="both"/>
      </w:pPr>
      <w:r>
        <w:rPr>
          <w:rFonts w:ascii="Arial" w:hAnsi="Arial"/>
          <w:b w:val="0"/>
          <w:i w:val="0"/>
          <w:sz w:val="28"/>
        </w:rPr>
        <w:t xml:space="preserve">En cuanto a la preparación de la violación, </w:t>
      </w:r>
      <w:r>
        <w:rPr>
          <w:rFonts w:ascii="Arial" w:hAnsi="Arial"/>
          <w:b/>
          <w:i w:val="0"/>
          <w:sz w:val="28"/>
        </w:rPr>
        <w:t>[MEDIO DE DEFENSA O MANIFESTACIÓN PREVIA CONTRA EL DESECHAMIENTO]</w:t>
      </w:r>
      <w:r>
        <w:rPr>
          <w:rFonts w:ascii="Arial" w:hAnsi="Arial"/>
          <w:b w:val="0"/>
          <w:i w:val="0"/>
          <w:sz w:val="28"/>
        </w:rPr>
        <w:t>. Con independencia de ello, cuando la persona quejosa es la parte trabajadora, el artículo 171, párrafo segundo, de la Ley de Amparo la exime de haber impugnado la violación durante el juicio, de modo que el Tribunal Colegiado debe examinarla aun sin preparación previa; en su caso, se solicita el estudio de este concepto también en suplencia de la queja.</w:t>
      </w:r>
    </w:p>
    <w:p>
      <w:pPr>
        <w:spacing w:line="360" w:lineRule="auto"/>
        <w:jc w:val="both"/>
      </w:pPr>
      <w:r>
        <w:rPr>
          <w:rFonts w:ascii="Arial" w:hAnsi="Arial"/>
          <w:b w:val="0"/>
          <w:i w:val="0"/>
          <w:sz w:val="28"/>
        </w:rPr>
        <w:t xml:space="preserve">El perjuicio es concreto y verificable: la inspección tenía por objeto que el actuario constatara en </w:t>
      </w:r>
      <w:r>
        <w:rPr>
          <w:rFonts w:ascii="Arial" w:hAnsi="Arial"/>
          <w:b/>
          <w:i w:val="0"/>
          <w:sz w:val="28"/>
        </w:rPr>
        <w:t>[DOCUMENTOS O LUGAR MATERIA DE LA INSPECCIÓN]</w:t>
      </w:r>
      <w:r>
        <w:rPr>
          <w:rFonts w:ascii="Arial" w:hAnsi="Arial"/>
          <w:b w:val="0"/>
          <w:i w:val="0"/>
          <w:sz w:val="28"/>
        </w:rPr>
        <w:t xml:space="preserve">, correspondientes a </w:t>
      </w:r>
      <w:r>
        <w:rPr>
          <w:rFonts w:ascii="Arial" w:hAnsi="Arial"/>
          <w:b/>
          <w:i w:val="0"/>
          <w:sz w:val="28"/>
        </w:rPr>
        <w:t>[PERIODO QUE ABARCA LA INSPECCIÓN]</w:t>
      </w:r>
      <w:r>
        <w:rPr>
          <w:rFonts w:ascii="Arial" w:hAnsi="Arial"/>
          <w:b w:val="0"/>
          <w:i w:val="0"/>
          <w:sz w:val="28"/>
        </w:rPr>
        <w:t xml:space="preserve">, los hechos consistentes en </w:t>
      </w:r>
      <w:r>
        <w:rPr>
          <w:rFonts w:ascii="Arial" w:hAnsi="Arial"/>
          <w:b/>
          <w:i w:val="0"/>
          <w:sz w:val="28"/>
        </w:rPr>
        <w:t>[HECHOS QUE SE PRETENDÍAN ACREDITAR CON LA INSPECCIÓN]</w:t>
      </w:r>
      <w:r>
        <w:rPr>
          <w:rFonts w:ascii="Arial" w:hAnsi="Arial"/>
          <w:b w:val="0"/>
          <w:i w:val="0"/>
          <w:sz w:val="28"/>
        </w:rPr>
        <w:t xml:space="preserve">. Al desecharla, el Tribunal Laboral privó a la persona quejosa del único medio idóneo para demostrar esos hechos, que se encontraban en poder de </w:t>
      </w:r>
      <w:r>
        <w:rPr>
          <w:rFonts w:ascii="Arial" w:hAnsi="Arial"/>
          <w:b/>
          <w:i w:val="0"/>
          <w:sz w:val="28"/>
        </w:rPr>
        <w:t>[PARTE CONTRARIA]</w:t>
      </w:r>
      <w:r>
        <w:rPr>
          <w:rFonts w:ascii="Arial" w:hAnsi="Arial"/>
          <w:b w:val="0"/>
          <w:i w:val="0"/>
          <w:sz w:val="28"/>
        </w:rPr>
        <w:t>, y después resolvió el punto controvertido en su contra precisamente por falta de prueba.</w:t>
      </w:r>
    </w:p>
    <w:p>
      <w:pPr>
        <w:spacing w:line="360" w:lineRule="auto"/>
        <w:jc w:val="both"/>
      </w:pPr>
      <w:r>
        <w:rPr>
          <w:rFonts w:ascii="Arial" w:hAnsi="Arial"/>
          <w:b w:val="0"/>
          <w:i w:val="0"/>
          <w:sz w:val="28"/>
        </w:rPr>
        <w:t>De prosperar este concepto, el beneficio es la reposición del procedimiento con admisión y desahogo de la inspección, lo que abre la posibilidad real de que el fondo se decida con la verdad de los hechos. Conforme al artículo 174 de la Ley de Amparo, se precisa desde ahora la forma en que la violación trascendió al resultado del fallo, y se pide su estudio preferente sobre los conceptos de fondo, pues su acogimiento vuelve innecesario el examen de éstos.</w:t>
      </w:r>
    </w:p>
    <w:p>
      <w:pPr>
        <w:spacing w:line="360" w:lineRule="auto"/>
        <w:jc w:val="both"/>
      </w:pPr>
      <w:r>
        <w:rPr>
          <w:rFonts w:ascii="Arial" w:hAnsi="Arial"/>
          <w:b/>
          <w:sz w:val="28"/>
        </w:rPr>
        <w:t>III. Desarrollo doctrinal y normativo. Premisa mayor.</w:t>
      </w:r>
    </w:p>
    <w:p>
      <w:pPr>
        <w:spacing w:line="360" w:lineRule="auto"/>
        <w:jc w:val="both"/>
      </w:pPr>
      <w:r>
        <w:rPr>
          <w:rFonts w:ascii="Arial" w:hAnsi="Arial"/>
          <w:b w:val="0"/>
          <w:i w:val="0"/>
          <w:sz w:val="28"/>
        </w:rPr>
        <w:t>Conviene partir del lugar que ocupa la prueba dentro del debido proceso. La doctrina reconoce como parte consolidada de ese derecho que las partes puedan presentar todos los medios de prueba relevantes y admisibles para respaldar su versión de los hechos en litigio.</w:t>
      </w:r>
      <w:r>
        <w:rPr>
          <w:rFonts w:ascii="Arial" w:hAnsi="Arial"/>
          <w:vertAlign w:val="superscript"/>
        </w:rPr>
        <w:t>1</w:t>
      </w:r>
      <w:r>
        <w:rPr>
          <w:rFonts w:ascii="Arial" w:hAnsi="Arial"/>
          <w:b w:val="0"/>
          <w:i w:val="0"/>
          <w:sz w:val="28"/>
        </w:rPr>
        <w:t xml:space="preserve"> El derecho a probar no es un adorno del procedimiento, sino la condición que permite a la persona ser oída con posibilidades reales de influir en la decisión; una prueba pertinente desechada por un obstáculo formal convierte la audiencia en un trámite vacío.</w:t>
      </w:r>
    </w:p>
    <w:p>
      <w:pPr>
        <w:spacing w:line="360" w:lineRule="auto"/>
        <w:jc w:val="both"/>
      </w:pPr>
      <w:r>
        <w:rPr>
          <w:rFonts w:ascii="Arial" w:hAnsi="Arial"/>
          <w:b w:val="0"/>
          <w:i w:val="0"/>
          <w:sz w:val="28"/>
        </w:rPr>
        <w:t>Ese derecho se conecta con el debido proceso y con la tutela judicial efectiva que reconoce el artículo 17 de la Constitución. La doctrina que sistematiza los criterios de la Suprema Corte define el debido proceso como el conjunto de garantías que deben observarse en las instancias procesales para que las personas estén en condiciones de defender adecuadamente sus derechos, aplicable también al orden laboral, e implica que quien acude al proceso pueda hacer valer sus derechos y defender sus intereses de forma efectiva y en condiciones de igualdad procesal.</w:t>
      </w:r>
      <w:r>
        <w:rPr>
          <w:rFonts w:ascii="Arial" w:hAnsi="Arial"/>
          <w:vertAlign w:val="superscript"/>
        </w:rPr>
        <w:t>2</w:t>
      </w:r>
    </w:p>
    <w:p>
      <w:pPr>
        <w:spacing w:line="360" w:lineRule="auto"/>
        <w:jc w:val="both"/>
      </w:pPr>
      <w:r>
        <w:rPr>
          <w:rFonts w:ascii="Arial" w:hAnsi="Arial"/>
          <w:b w:val="0"/>
          <w:i w:val="0"/>
          <w:sz w:val="28"/>
        </w:rPr>
        <w:t>Una regla de admisión de pruebas que se aplique de forma que nadie pueda satisfacerla, o que exija formulaciones sacramentales ajenas a la finalidad de la norma, deja de ser garantía y se vuelve barrera. El propio artículo 17 constitucional lo ordena en el párrafo adicionado en 2017: siempre que no se afecte la igualdad entre las partes, el debido proceso u otros derechos, las autoridades deberán privilegiar la solución del conflicto sobre los formalismos procedimentales. Desechar una inspección cuyo objeto se identifica del propio ofrecimiento, sólo por no enunciarlo en fórmula separada, contraría ese mandato.</w:t>
      </w:r>
    </w:p>
    <w:p>
      <w:pPr>
        <w:spacing w:line="360" w:lineRule="auto"/>
        <w:jc w:val="both"/>
      </w:pPr>
      <w:r>
        <w:rPr>
          <w:rFonts w:ascii="Arial" w:hAnsi="Arial"/>
          <w:b w:val="0"/>
          <w:i w:val="0"/>
          <w:sz w:val="28"/>
        </w:rPr>
        <w:t>Sobre esa base debe leerse el artículo 827, párrafo primero, de la Ley Federal del Trabajo. El precepto establece los requisitos para el ofrecimiento de la prueba de inspección, entre ellos el señalamiento de su objeto y de los hechos o cuestiones que se pretenden acreditar. La pregunta que dividió a los tribunales federales fue si el objeto debe expresarse en una fórmula separada, so pena de desechamiento, o si puede identificarse a partir del propio ofrecimiento; el Pleno de la Suprema Corte de Justicia de la Nación resolvió esa contradicción.</w:t>
      </w:r>
    </w:p>
    <w:p>
      <w:pPr>
        <w:spacing w:line="360" w:lineRule="auto"/>
        <w:jc w:val="both"/>
      </w:pPr>
      <w:r>
        <w:rPr>
          <w:rFonts w:ascii="Arial" w:hAnsi="Arial"/>
          <w:b w:val="0"/>
          <w:i w:val="0"/>
          <w:sz w:val="28"/>
        </w:rPr>
        <w:t xml:space="preserve">Lo hizo en la jurisprudencia P./J. 170/2026 (12a.), del Pleno de la Suprema Corte de Justicia de la Nación, Duodécima Época, registro digital 2032466, de rubro </w:t>
      </w:r>
      <w:r>
        <w:rPr>
          <w:rFonts w:ascii="Arial" w:hAnsi="Arial"/>
          <w:b w:val="0"/>
          <w:i/>
          <w:sz w:val="28"/>
        </w:rPr>
        <w:t>«PRUEBA DE INSPECCIÓN EN MATERIA LABORAL. EL ARTÍCULO 827, PÁRRAFO PRIMERO, DE LA LEY FEDERAL DEL TRABAJO DEBE INTERPRETARSE DE MANERA FUNCIONAL EN ATENCIÓN AL PRINCIPIO DE REALIDAD»</w:t>
      </w:r>
      <w:r>
        <w:rPr>
          <w:rFonts w:ascii="Arial" w:hAnsi="Arial"/>
          <w:b w:val="0"/>
          <w:i w:val="0"/>
          <w:sz w:val="28"/>
        </w:rPr>
        <w:t>, publicada en el Semanario Judicial de la Federación el viernes 7 de agosto de 2026 y, por ende, de aplicación obligatoria a partir del lunes 10 de agosto de 2026, derivada de la contradicción de criterios 276/2025.</w:t>
      </w:r>
    </w:p>
    <w:p>
      <w:pPr>
        <w:spacing w:line="360" w:lineRule="auto"/>
        <w:jc w:val="both"/>
      </w:pPr>
      <w:r>
        <w:rPr>
          <w:rFonts w:ascii="Arial" w:hAnsi="Arial"/>
          <w:b w:val="0"/>
          <w:i w:val="0"/>
          <w:sz w:val="28"/>
        </w:rPr>
        <w:t xml:space="preserve">Su criterio jurídico es el siguiente: </w:t>
      </w:r>
      <w:r>
        <w:rPr>
          <w:rFonts w:ascii="Arial" w:hAnsi="Arial"/>
          <w:b w:val="0"/>
          <w:i/>
          <w:sz w:val="28"/>
        </w:rPr>
        <w:t>«El artículo 827, párrafo primero, de la Ley Federal del Trabajo debe interpretarse de manera funcional y conforme al principio de realidad que rige el derecho del trabajo, por lo que el requisito relativo a precisar el objeto de la prueba de inspección debe entenderse implícito en su ofrecimiento, sin acudir a criterios rigoristas o exegéticos que hagan nugatoria su admisibilidad»</w:t>
      </w:r>
      <w:r>
        <w:rPr>
          <w:rFonts w:ascii="Arial" w:hAnsi="Arial"/>
          <w:b w:val="0"/>
          <w:i w:val="0"/>
          <w:sz w:val="28"/>
        </w:rPr>
        <w:t>.</w:t>
      </w:r>
    </w:p>
    <w:p>
      <w:pPr>
        <w:spacing w:line="360" w:lineRule="auto"/>
        <w:jc w:val="both"/>
      </w:pPr>
      <w:r>
        <w:rPr>
          <w:rFonts w:ascii="Arial" w:hAnsi="Arial"/>
          <w:b w:val="0"/>
          <w:i w:val="0"/>
          <w:sz w:val="28"/>
        </w:rPr>
        <w:t xml:space="preserve">En su justificación, el Pleno precisó que </w:t>
      </w:r>
      <w:r>
        <w:rPr>
          <w:rFonts w:ascii="Arial" w:hAnsi="Arial"/>
          <w:b w:val="0"/>
          <w:i/>
          <w:sz w:val="28"/>
        </w:rPr>
        <w:t>«para determinar el objeto de la prueba de inspección bastan elementos básicos, no específicos, así como que pueda identificarse razonablemente del contexto del ofrecimiento y los hechos que se pretenden demostrar, aunado a que sea materialmente posible su desahogo sin generar incertidumbre o indefensión a la contraparte»</w:t>
      </w:r>
      <w:r>
        <w:rPr>
          <w:rFonts w:ascii="Arial" w:hAnsi="Arial"/>
          <w:b w:val="0"/>
          <w:i w:val="0"/>
          <w:sz w:val="28"/>
        </w:rPr>
        <w:t>.</w:t>
      </w:r>
    </w:p>
    <w:p>
      <w:pPr>
        <w:spacing w:line="360" w:lineRule="auto"/>
        <w:jc w:val="both"/>
      </w:pPr>
      <w:r>
        <w:rPr>
          <w:rFonts w:ascii="Arial" w:hAnsi="Arial"/>
          <w:b w:val="0"/>
          <w:i w:val="0"/>
          <w:sz w:val="28"/>
        </w:rPr>
        <w:t xml:space="preserve">Añadió que el señalamiento del objeto </w:t>
      </w:r>
      <w:r>
        <w:rPr>
          <w:rFonts w:ascii="Arial" w:hAnsi="Arial"/>
          <w:b w:val="0"/>
          <w:i/>
          <w:sz w:val="28"/>
        </w:rPr>
        <w:t>«puede desprenderse implícitamente de elementos como el lugar, los periodos, los documentos o los hechos que se pretenden acreditar»</w:t>
      </w:r>
      <w:r>
        <w:rPr>
          <w:rFonts w:ascii="Arial" w:hAnsi="Arial"/>
          <w:b w:val="0"/>
          <w:i w:val="0"/>
          <w:sz w:val="28"/>
        </w:rPr>
        <w:t xml:space="preserve">, y que </w:t>
      </w:r>
      <w:r>
        <w:rPr>
          <w:rFonts w:ascii="Arial" w:hAnsi="Arial"/>
          <w:b w:val="0"/>
          <w:i/>
          <w:sz w:val="28"/>
        </w:rPr>
        <w:t>«en caso de duda, la autoridad laboral debe privilegiar la admisión y eficacia de la prueba, evitando formalismos que obstaculicen el acceso efectivo a la justicia laboral»</w:t>
      </w:r>
      <w:r>
        <w:rPr>
          <w:rFonts w:ascii="Arial" w:hAnsi="Arial"/>
          <w:b w:val="0"/>
          <w:i w:val="0"/>
          <w:sz w:val="28"/>
        </w:rPr>
        <w:t>.</w:t>
      </w:r>
    </w:p>
    <w:p>
      <w:pPr>
        <w:spacing w:line="360" w:lineRule="auto"/>
        <w:jc w:val="both"/>
      </w:pPr>
      <w:r>
        <w:rPr>
          <w:rFonts w:ascii="Arial" w:hAnsi="Arial"/>
          <w:b w:val="0"/>
          <w:i w:val="0"/>
          <w:sz w:val="28"/>
        </w:rPr>
        <w:t>Esa jurisprudencia obliga al Tribunal Colegiado que conocerá de este juicio, porque, conforme al artículo 217, párrafo primero, de la Ley de Amparo, la jurisprudencia que establezca la Suprema Corte de Justicia de la Nación es obligatoria para todas las autoridades jurisdiccionales de la Federación y de las entidades federativas, con excepción de la propia Suprema Corte. Y obligaba igualmente al Tribunal Laboral responsable, que no está comprendido en esa excepción, desde el lunes 10 de agosto de 2026.</w:t>
      </w:r>
    </w:p>
    <w:p>
      <w:pPr>
        <w:spacing w:line="360" w:lineRule="auto"/>
        <w:jc w:val="both"/>
      </w:pPr>
      <w:r>
        <w:rPr>
          <w:rFonts w:ascii="Arial" w:hAnsi="Arial"/>
          <w:b w:val="0"/>
          <w:i w:val="0"/>
          <w:sz w:val="28"/>
        </w:rPr>
        <w:t>Importa subrayar la técnica interpretativa que el Pleno adoptó. La doctrina describe el criterio funcional de interpretación como aquel que atiende al objetivo o propósito de la norma interpretada y a la finalidad perseguida por el legislador, en lugar de detenerse en la literalidad aislada del enunciado.</w:t>
      </w:r>
      <w:r>
        <w:rPr>
          <w:rFonts w:ascii="Arial" w:hAnsi="Arial"/>
          <w:vertAlign w:val="superscript"/>
        </w:rPr>
        <w:t>3</w:t>
      </w:r>
      <w:r>
        <w:rPr>
          <w:rFonts w:ascii="Arial" w:hAnsi="Arial"/>
          <w:b w:val="0"/>
          <w:i w:val="0"/>
          <w:sz w:val="28"/>
        </w:rPr>
        <w:t xml:space="preserve"> Bajo esa óptica, el requisito de señalar el objeto de la inspección existe para que el actuario sepa qué debe constatar y la contraparte sepa de qué defenderse; cumplido ese propósito, exigir además una fórmula separada carece de justificación.</w:t>
      </w:r>
    </w:p>
    <w:p>
      <w:pPr>
        <w:spacing w:line="360" w:lineRule="auto"/>
        <w:jc w:val="both"/>
      </w:pPr>
      <w:r>
        <w:rPr>
          <w:rFonts w:ascii="Arial" w:hAnsi="Arial"/>
          <w:b w:val="0"/>
          <w:i w:val="0"/>
          <w:sz w:val="28"/>
        </w:rPr>
        <w:t>La misma obra recoge, como muestra de esa interpretación funcional del acceso efectivo a la jurisdicción, el razonamiento de que la efectividad de la administración de justicia exige sustraer a la persona de resoluciones alejadas de formalismos exagerados e innecesarios, para que el órgano jurisdiccional decida material y realmente el fondo del problema planteado.</w:t>
      </w:r>
      <w:r>
        <w:rPr>
          <w:rFonts w:ascii="Arial" w:hAnsi="Arial"/>
          <w:vertAlign w:val="superscript"/>
        </w:rPr>
        <w:t>4</w:t>
      </w:r>
      <w:r>
        <w:rPr>
          <w:rFonts w:ascii="Arial" w:hAnsi="Arial"/>
          <w:b w:val="0"/>
          <w:i w:val="0"/>
          <w:sz w:val="28"/>
        </w:rPr>
        <w:t xml:space="preserve"> El desechamiento de una prueba por la ausencia de una fórmula que la ley no exige en términos sacramentales es el ejemplo típico de formalismo que sacrifica el fondo, pues impide conocer la verdad de los hechos para resolver conforme a ella.</w:t>
      </w:r>
    </w:p>
    <w:p>
      <w:pPr>
        <w:spacing w:line="360" w:lineRule="auto"/>
        <w:jc w:val="both"/>
      </w:pPr>
      <w:r>
        <w:rPr>
          <w:rFonts w:ascii="Arial" w:hAnsi="Arial"/>
          <w:b w:val="0"/>
          <w:i w:val="0"/>
          <w:sz w:val="28"/>
        </w:rPr>
        <w:t>A ello se suma el principio de realidad, que la propia jurisprudencia invoca como eje del derecho del trabajo. Si en esta materia los hechos prevalecen sobre las formas y los documentos, la regla de admisión de la inspección, prueba cuya función es precisamente que la autoridad constate hechos y documentos que suelen estar en poder de la parte patronal, no puede interpretarse de modo que la forma del ofrecimiento derrote la realidad que se pretende acreditar. La Suprema Corte fue explícita: en caso de duda, se privilegia la admisión y la eficacia de la prueba.</w:t>
      </w:r>
    </w:p>
    <w:p>
      <w:pPr>
        <w:spacing w:line="360" w:lineRule="auto"/>
        <w:jc w:val="both"/>
      </w:pPr>
      <w:r>
        <w:rPr>
          <w:rFonts w:ascii="Arial" w:hAnsi="Arial"/>
          <w:b w:val="0"/>
          <w:i w:val="0"/>
          <w:sz w:val="28"/>
        </w:rPr>
        <w:t xml:space="preserve">Finalmente, la Ley de Amparo cierra el sistema. Su artículo 172, en la fracción III, dispone que en los juicios tramitados ante los tribunales del trabajo se considerarán violadas las leyes del procedimiento, y afectadas las defensas de la persona quejosa con trascendencia al resultado del fallo, cuando </w:t>
      </w:r>
      <w:r>
        <w:rPr>
          <w:rFonts w:ascii="Arial" w:hAnsi="Arial"/>
          <w:b w:val="0"/>
          <w:i/>
          <w:sz w:val="28"/>
        </w:rPr>
        <w:t>«se desechen las pruebas legalmente ofrecidas o se desahoguen en forma contraria a la ley»</w:t>
      </w:r>
      <w:r>
        <w:rPr>
          <w:rFonts w:ascii="Arial" w:hAnsi="Arial"/>
          <w:b w:val="0"/>
          <w:i w:val="0"/>
          <w:sz w:val="28"/>
        </w:rPr>
        <w:t>. Una inspección ofrecida con los elementos que el Pleno considera suficientes es una prueba legalmente ofrecida; su desechamiento encuadra de manera literal en esa fracción.</w:t>
      </w:r>
    </w:p>
    <w:p>
      <w:pPr>
        <w:spacing w:line="360" w:lineRule="auto"/>
        <w:jc w:val="both"/>
      </w:pPr>
      <w:r>
        <w:rPr>
          <w:rFonts w:ascii="Arial" w:hAnsi="Arial"/>
          <w:b/>
          <w:sz w:val="28"/>
        </w:rPr>
        <w:t>IV. Aplicación al caso concreto y refutación de la motivación del Tribunal Laboral.</w:t>
      </w:r>
    </w:p>
    <w:p>
      <w:pPr>
        <w:spacing w:line="360" w:lineRule="auto"/>
        <w:jc w:val="both"/>
      </w:pPr>
      <w:r>
        <w:rPr>
          <w:rFonts w:ascii="Arial" w:hAnsi="Arial"/>
          <w:b w:val="0"/>
          <w:i w:val="0"/>
          <w:sz w:val="28"/>
        </w:rPr>
        <w:t xml:space="preserve">Los hechos del expediente encuadran en la premisa expuesta. En el escrito de </w:t>
      </w:r>
      <w:r>
        <w:rPr>
          <w:rFonts w:ascii="Arial" w:hAnsi="Arial"/>
          <w:b/>
          <w:i w:val="0"/>
          <w:sz w:val="28"/>
        </w:rPr>
        <w:t>[FECHA DEL ESCRITO DE OFRECIMIENTO DE PRUEBAS]</w:t>
      </w:r>
      <w:r>
        <w:rPr>
          <w:rFonts w:ascii="Arial" w:hAnsi="Arial"/>
          <w:b w:val="0"/>
          <w:i w:val="0"/>
          <w:sz w:val="28"/>
        </w:rPr>
        <w:t xml:space="preserve">, la persona quejosa ofreció la prueba de inspección sobre </w:t>
      </w:r>
      <w:r>
        <w:rPr>
          <w:rFonts w:ascii="Arial" w:hAnsi="Arial"/>
          <w:b/>
          <w:i w:val="0"/>
          <w:sz w:val="28"/>
        </w:rPr>
        <w:t>[DOCUMENTOS O LUGAR MATERIA DE LA INSPECCIÓN]</w:t>
      </w:r>
      <w:r>
        <w:rPr>
          <w:rFonts w:ascii="Arial" w:hAnsi="Arial"/>
          <w:b w:val="0"/>
          <w:i w:val="0"/>
          <w:sz w:val="28"/>
        </w:rPr>
        <w:t xml:space="preserve">, por el periodo comprendido en </w:t>
      </w:r>
      <w:r>
        <w:rPr>
          <w:rFonts w:ascii="Arial" w:hAnsi="Arial"/>
          <w:b/>
          <w:i w:val="0"/>
          <w:sz w:val="28"/>
        </w:rPr>
        <w:t>[PERIODO QUE ABARCA LA INSPECCIÓN]</w:t>
      </w:r>
      <w:r>
        <w:rPr>
          <w:rFonts w:ascii="Arial" w:hAnsi="Arial"/>
          <w:b w:val="0"/>
          <w:i w:val="0"/>
          <w:sz w:val="28"/>
        </w:rPr>
        <w:t xml:space="preserve">, señalando que con ella se acreditarían </w:t>
      </w:r>
      <w:r>
        <w:rPr>
          <w:rFonts w:ascii="Arial" w:hAnsi="Arial"/>
          <w:b/>
          <w:i w:val="0"/>
          <w:sz w:val="28"/>
        </w:rPr>
        <w:t>[HECHOS QUE SE PRETENDÍAN ACREDITAR CON LA INSPECCIÓN]</w:t>
      </w:r>
      <w:r>
        <w:rPr>
          <w:rFonts w:ascii="Arial" w:hAnsi="Arial"/>
          <w:b w:val="0"/>
          <w:i w:val="0"/>
          <w:sz w:val="28"/>
        </w:rPr>
        <w:t xml:space="preserve">, y precisó que dichos documentos se encontraban en poder de </w:t>
      </w:r>
      <w:r>
        <w:rPr>
          <w:rFonts w:ascii="Arial" w:hAnsi="Arial"/>
          <w:b/>
          <w:i w:val="0"/>
          <w:sz w:val="28"/>
        </w:rPr>
        <w:t>[PARTE CONTRARIA]</w:t>
      </w:r>
      <w:r>
        <w:rPr>
          <w:rFonts w:ascii="Arial" w:hAnsi="Arial"/>
          <w:b w:val="0"/>
          <w:i w:val="0"/>
          <w:sz w:val="28"/>
        </w:rPr>
        <w:t>, con el apercibimiento legal para el caso de que no fueran exhibidos.</w:t>
      </w:r>
    </w:p>
    <w:p>
      <w:pPr>
        <w:spacing w:line="360" w:lineRule="auto"/>
        <w:jc w:val="both"/>
      </w:pPr>
      <w:r>
        <w:rPr>
          <w:rFonts w:ascii="Arial" w:hAnsi="Arial"/>
          <w:b w:val="0"/>
          <w:i w:val="0"/>
          <w:sz w:val="28"/>
        </w:rPr>
        <w:t>De ese ofrecimiento se desprende, sin esfuerzo interpretativo alguno, el objeto de la prueba: constatar en los documentos y el periodo señalados la existencia o inexistencia de los hechos identificados. Los cuatro elementos que el Pleno considera suficientes, lugar, periodos, documentos y hechos que se pretenden acreditar, constan en el escrito; el desahogo era materialmente posible; y la contraparte supo desde entonces qué se iba a inspeccionar y para qué, de modo que ninguna incertidumbre ni indefensión podía generarse.</w:t>
      </w:r>
    </w:p>
    <w:p>
      <w:pPr>
        <w:spacing w:line="360" w:lineRule="auto"/>
        <w:jc w:val="both"/>
      </w:pPr>
      <w:r>
        <w:rPr>
          <w:rFonts w:ascii="Arial" w:hAnsi="Arial"/>
          <w:b w:val="0"/>
          <w:i w:val="0"/>
          <w:sz w:val="28"/>
        </w:rPr>
        <w:t xml:space="preserve">Pese a ello, mediante acuerdo de </w:t>
      </w:r>
      <w:r>
        <w:rPr>
          <w:rFonts w:ascii="Arial" w:hAnsi="Arial"/>
          <w:b/>
          <w:i w:val="0"/>
          <w:sz w:val="28"/>
        </w:rPr>
        <w:t>[FECHA DEL ACUERDO QUE DESECHÓ LA INSPECCIÓN]</w:t>
      </w:r>
      <w:r>
        <w:rPr>
          <w:rFonts w:ascii="Arial" w:hAnsi="Arial"/>
          <w:b w:val="0"/>
          <w:i w:val="0"/>
          <w:sz w:val="28"/>
        </w:rPr>
        <w:t xml:space="preserve">, el Tribunal Laboral desechó la prueba con el siguiente razonamiento: </w:t>
      </w:r>
      <w:r>
        <w:rPr>
          <w:rFonts w:ascii="Arial" w:hAnsi="Arial"/>
          <w:b/>
          <w:i w:val="0"/>
          <w:sz w:val="28"/>
        </w:rPr>
        <w:t>[TRANSCRIPCIÓN DEL RAZONAMIENTO DEL ACUERDO DE DESECHAMIENTO]</w:t>
      </w:r>
      <w:r>
        <w:rPr>
          <w:rFonts w:ascii="Arial" w:hAnsi="Arial"/>
          <w:b w:val="0"/>
          <w:i w:val="0"/>
          <w:sz w:val="28"/>
        </w:rPr>
        <w:t>. La idea central de esa motivación es que el objeto de la inspección debe indicarse de manera expresa y separada de los hechos o cuestiones a examinar, por tratarse de conceptos distintos, de modo que su omisión formal conduce a la inadmisión automática.</w:t>
      </w:r>
    </w:p>
    <w:p>
      <w:pPr>
        <w:spacing w:line="360" w:lineRule="auto"/>
        <w:jc w:val="both"/>
      </w:pPr>
      <w:r>
        <w:rPr>
          <w:rFonts w:ascii="Arial" w:hAnsi="Arial"/>
          <w:b w:val="0"/>
          <w:i w:val="0"/>
          <w:sz w:val="28"/>
        </w:rPr>
        <w:t>La subsunción es directa. La norma, interpretada por el Pleno con carácter obligatorio, permite que el objeto se entienda implícito cuando se identifica razonablemente del contexto del ofrecimiento; el ofrecimiento de la persona quejosa contenía todos los elementos de identificación; luego la prueba estaba legalmente ofrecida y su desechamiento actualiza la fracción III del artículo 172 de la Ley de Amparo. El Tribunal Laboral aplicó exactamente la lectura rígida-literal que la Suprema Corte descartó.</w:t>
      </w:r>
    </w:p>
    <w:p>
      <w:pPr>
        <w:spacing w:line="360" w:lineRule="auto"/>
        <w:jc w:val="both"/>
      </w:pPr>
      <w:r>
        <w:rPr>
          <w:rFonts w:ascii="Arial" w:hAnsi="Arial"/>
          <w:b w:val="0"/>
          <w:i w:val="0"/>
          <w:sz w:val="28"/>
        </w:rPr>
        <w:t>Ese razonamiento es, además, lógicamente inválido, y conviene nombrar el error. En primer lugar, incurre en la falacia del secundum quid o de mala aplicación de una regla, que la doctrina describe como aplicar rígidamente una regla como si no existieran excepciones, olvidando que en el caso particular puede darse una circunstancia que la haga inaplicable o aconseje no aplicarla en sus términos.</w:t>
      </w:r>
      <w:r>
        <w:rPr>
          <w:rFonts w:ascii="Arial" w:hAnsi="Arial"/>
          <w:vertAlign w:val="superscript"/>
        </w:rPr>
        <w:t>5</w:t>
      </w:r>
      <w:r>
        <w:rPr>
          <w:rFonts w:ascii="Arial" w:hAnsi="Arial"/>
          <w:b w:val="0"/>
          <w:i w:val="0"/>
          <w:sz w:val="28"/>
        </w:rPr>
        <w:t xml:space="preserve"> El Tribunal tomó la regla </w:t>
      </w:r>
      <w:r>
        <w:rPr>
          <w:rFonts w:ascii="Arial" w:hAnsi="Arial"/>
          <w:b w:val="0"/>
          <w:i/>
          <w:sz w:val="28"/>
        </w:rPr>
        <w:t>«el ofrecimiento debe señalar el objeto»</w:t>
      </w:r>
      <w:r>
        <w:rPr>
          <w:rFonts w:ascii="Arial" w:hAnsi="Arial"/>
          <w:b w:val="0"/>
          <w:i w:val="0"/>
          <w:sz w:val="28"/>
        </w:rPr>
        <w:t xml:space="preserve"> y la convirtió en </w:t>
      </w:r>
      <w:r>
        <w:rPr>
          <w:rFonts w:ascii="Arial" w:hAnsi="Arial"/>
          <w:b w:val="0"/>
          <w:i/>
          <w:sz w:val="28"/>
        </w:rPr>
        <w:t>«el ofrecimiento debe contener un enunciado separado que se llame objeto»</w:t>
      </w:r>
      <w:r>
        <w:rPr>
          <w:rFonts w:ascii="Arial" w:hAnsi="Arial"/>
          <w:b w:val="0"/>
          <w:i w:val="0"/>
          <w:sz w:val="28"/>
        </w:rPr>
        <w:t>, sin reparar en que el objeto ya estaba señalado por otros medios.</w:t>
      </w:r>
    </w:p>
    <w:p>
      <w:pPr>
        <w:spacing w:line="360" w:lineRule="auto"/>
        <w:jc w:val="both"/>
      </w:pPr>
      <w:r>
        <w:rPr>
          <w:rFonts w:ascii="Arial" w:hAnsi="Arial"/>
          <w:b w:val="0"/>
          <w:i w:val="0"/>
          <w:sz w:val="28"/>
        </w:rPr>
        <w:t>Esa variante es también la falacia de accidente, que se comete cuando se aplica una regla general a un caso particular cuyas circunstancias hacen inaplicable la regla en la forma en que se pretende.</w:t>
      </w:r>
      <w:r>
        <w:rPr>
          <w:rFonts w:ascii="Arial" w:hAnsi="Arial"/>
          <w:vertAlign w:val="superscript"/>
        </w:rPr>
        <w:t>6</w:t>
      </w:r>
      <w:r>
        <w:rPr>
          <w:rFonts w:ascii="Arial" w:hAnsi="Arial"/>
          <w:b w:val="0"/>
          <w:i w:val="0"/>
          <w:sz w:val="28"/>
        </w:rPr>
        <w:t xml:space="preserve"> La circunstancia relevante aquí es que el ofrecimiento identificaba documentos, periodo y hechos con claridad; ante ese contexto, la exigencia de una fórmula adicional no cumple ninguna función y sólo produce el desechamiento. El razonamiento correcto era verificar si, del conjunto del ofrecimiento, podía identificarse razonablemente qué se pretendía constatar, y responder afirmativamente.</w:t>
      </w:r>
    </w:p>
    <w:p>
      <w:pPr>
        <w:spacing w:line="360" w:lineRule="auto"/>
        <w:jc w:val="both"/>
      </w:pPr>
      <w:r>
        <w:rPr>
          <w:rFonts w:ascii="Arial" w:hAnsi="Arial"/>
          <w:b w:val="0"/>
          <w:i w:val="0"/>
          <w:sz w:val="28"/>
        </w:rPr>
        <w:t>En segundo lugar, la motivación desatiende la finalidad de la norma. Si el señalamiento del objeto sirve para orientar al actuario y para que la contraparte conozca de qué defenderse, y ambas finalidades quedaron satisfechas con el ofrecimiento, la inadmisión no protege ningún interés legítimo: no evita incertidumbre, no previene indefensión y no facilita el desahogo. Sólo cierra la puerta al conocimiento de la verdad, resultado contrario al principio de realidad que rige el proceso laboral y al deber de privilegiar la admisión en caso de duda.</w:t>
      </w:r>
    </w:p>
    <w:p>
      <w:pPr>
        <w:spacing w:line="360" w:lineRule="auto"/>
        <w:jc w:val="both"/>
      </w:pPr>
      <w:r>
        <w:rPr>
          <w:rFonts w:ascii="Arial" w:hAnsi="Arial"/>
          <w:b w:val="0"/>
          <w:i w:val="0"/>
          <w:sz w:val="28"/>
        </w:rPr>
        <w:t xml:space="preserve">En tercer lugar, la trascendencia al resultado del fallo está acreditada. El Tribunal Laboral, al resolver sobre </w:t>
      </w:r>
      <w:r>
        <w:rPr>
          <w:rFonts w:ascii="Arial" w:hAnsi="Arial"/>
          <w:b/>
          <w:i w:val="0"/>
          <w:sz w:val="28"/>
        </w:rPr>
        <w:t>[PRESTACIÓN O HECHO CONTROVERTIDO AL QUE TRASCENDIÓ]</w:t>
      </w:r>
      <w:r>
        <w:rPr>
          <w:rFonts w:ascii="Arial" w:hAnsi="Arial"/>
          <w:b w:val="0"/>
          <w:i w:val="0"/>
          <w:sz w:val="28"/>
        </w:rPr>
        <w:t xml:space="preserve">, sostuvo que la persona quejosa no demostró </w:t>
      </w:r>
      <w:r>
        <w:rPr>
          <w:rFonts w:ascii="Arial" w:hAnsi="Arial"/>
          <w:b/>
          <w:i w:val="0"/>
          <w:sz w:val="28"/>
        </w:rPr>
        <w:t>[HECHOS QUE SE PRETENDÍAN ACREDITAR CON LA INSPECCIÓN]</w:t>
      </w:r>
      <w:r>
        <w:rPr>
          <w:rFonts w:ascii="Arial" w:hAnsi="Arial"/>
          <w:b w:val="0"/>
          <w:i w:val="0"/>
          <w:sz w:val="28"/>
        </w:rPr>
        <w:t xml:space="preserve">, siendo que la inspección desechada era el medio idóneo, y en el caso el único disponible, para hacerlo, pues los documentos correspondientes se encuentran en poder de </w:t>
      </w:r>
      <w:r>
        <w:rPr>
          <w:rFonts w:ascii="Arial" w:hAnsi="Arial"/>
          <w:b/>
          <w:i w:val="0"/>
          <w:sz w:val="28"/>
        </w:rPr>
        <w:t>[PARTE CONTRARIA]</w:t>
      </w:r>
      <w:r>
        <w:rPr>
          <w:rFonts w:ascii="Arial" w:hAnsi="Arial"/>
          <w:b w:val="0"/>
          <w:i w:val="0"/>
          <w:sz w:val="28"/>
        </w:rPr>
        <w:t>. De haberse admitido y desahogado, con el apercibimiento legal para el caso de no exhibición, el sentido de ese pronunciamiento habría sido distinto.</w:t>
      </w:r>
    </w:p>
    <w:p>
      <w:pPr>
        <w:spacing w:line="360" w:lineRule="auto"/>
        <w:jc w:val="both"/>
      </w:pPr>
      <w:r>
        <w:rPr>
          <w:rFonts w:ascii="Arial" w:hAnsi="Arial"/>
          <w:b w:val="0"/>
          <w:i w:val="0"/>
          <w:sz w:val="28"/>
        </w:rPr>
        <w:t>No obsta que el acuerdo de desechamiento se haya dictado antes o después de la publicación de la jurisprudencia. Ésta no crea la norma, sino que fija la interpretación del artículo 827 que ya regía el ofrecimiento; el Tribunal Colegiado que resuelva este juicio a partir del 10 de agosto de 2026 está vinculado por ella en términos del artículo 217, párrafo primero, de la Ley de Amparo, y debe calificar el desechamiento con esa lectura. La parte contraria, además, conserva íntegro su derecho a objetar el desahogo y a controvertir el resultado de la inspección.</w:t>
      </w:r>
    </w:p>
    <w:p>
      <w:pPr>
        <w:spacing w:line="360" w:lineRule="auto"/>
        <w:jc w:val="both"/>
      </w:pPr>
      <w:r>
        <w:rPr>
          <w:rFonts w:ascii="Arial" w:hAnsi="Arial"/>
          <w:b w:val="0"/>
          <w:i w:val="0"/>
          <w:sz w:val="28"/>
        </w:rPr>
        <w:t>La consecuencia sistémica de convalidar el desechamiento revela el error: si bastara con que el ofrecimiento no contuviera un enunciado rotulado como objeto para rechazar la inspección, aun cuando lugar, periodo, documentos y hechos consten con claridad, el derecho a probar dependería de una fórmula y no de su contenido, y la parte que guarda los documentos decisivos tendría en el rigorismo del tribunal un aliado para sustraerlos del proceso. Ese resultado es incompatible con el debido proceso, con la tutela judicial efectiva y con el principio de realidad.</w:t>
      </w:r>
    </w:p>
    <w:p>
      <w:pPr>
        <w:spacing w:line="360" w:lineRule="auto"/>
        <w:jc w:val="both"/>
      </w:pPr>
      <w:r>
        <w:rPr>
          <w:rFonts w:ascii="Arial" w:hAnsi="Arial"/>
          <w:b/>
          <w:sz w:val="28"/>
        </w:rPr>
        <w:t>V. Conclusión y petición parcial.</w:t>
      </w:r>
    </w:p>
    <w:p>
      <w:pPr>
        <w:spacing w:line="360" w:lineRule="auto"/>
        <w:jc w:val="both"/>
      </w:pPr>
      <w:r>
        <w:rPr>
          <w:rFonts w:ascii="Arial" w:hAnsi="Arial"/>
          <w:b w:val="0"/>
          <w:i w:val="0"/>
          <w:sz w:val="28"/>
        </w:rPr>
        <w:t>En suma: el artículo 827, párrafo primero, de la Ley Federal del Trabajo, conforme a la jurisprudencia obligatoria P./J. 170/2026 (12a.) del Pleno de la Suprema Corte de Justicia de la Nación, debe interpretarse de manera funcional y con arreglo al principio de realidad, de modo que el objeto de la inspección se entiende implícito cuando se identifica razonablemente del contexto del ofrecimiento; el ofrecimiento de la persona quejosa cumplía con creces ese estándar; el Tribunal Laboral lo desechó con una lectura rigorista que la Suprema Corte descartó; y esa violación trascendió al resultado del fallo.</w:t>
      </w:r>
    </w:p>
    <w:p>
      <w:pPr>
        <w:spacing w:line="360" w:lineRule="auto"/>
        <w:jc w:val="both"/>
      </w:pPr>
      <w:r>
        <w:rPr>
          <w:rFonts w:ascii="Arial" w:hAnsi="Arial"/>
          <w:b w:val="0"/>
          <w:i w:val="0"/>
          <w:sz w:val="28"/>
        </w:rPr>
        <w:t xml:space="preserve">Por lo expuesto, procede declarar fundado el presente concepto de violación, con fundamento en los artículos 170, fracción I, 172, fracción III, y 174 de la Ley de Amparo, y conceder el amparo y protección de la Justicia Federal para el efecto de que el </w:t>
      </w:r>
      <w:r>
        <w:rPr>
          <w:rFonts w:ascii="Arial" w:hAnsi="Arial"/>
          <w:b/>
          <w:i w:val="0"/>
          <w:sz w:val="28"/>
        </w:rPr>
        <w:t>[TRIBUNAL LABORAL RESPONSABLE]</w:t>
      </w:r>
      <w:r>
        <w:rPr>
          <w:rFonts w:ascii="Arial" w:hAnsi="Arial"/>
          <w:b w:val="0"/>
          <w:i w:val="0"/>
          <w:sz w:val="28"/>
        </w:rPr>
        <w:t xml:space="preserve"> deje insubsistente el laudo o sentencia reclamada, reponga el procedimiento a partir del acuerdo de </w:t>
      </w:r>
      <w:r>
        <w:rPr>
          <w:rFonts w:ascii="Arial" w:hAnsi="Arial"/>
          <w:b/>
          <w:i w:val="0"/>
          <w:sz w:val="28"/>
        </w:rPr>
        <w:t>[FECHA DEL ACUERDO QUE DESECHÓ LA INSPECCIÓN]</w:t>
      </w:r>
      <w:r>
        <w:rPr>
          <w:rFonts w:ascii="Arial" w:hAnsi="Arial"/>
          <w:b w:val="0"/>
          <w:i w:val="0"/>
          <w:sz w:val="28"/>
        </w:rPr>
        <w:t>, admita la inspección en los términos en que fue ofrecida, ordene su desahogo con los apercibimientos de ley y, hecho lo anterior, dicte una nueva resolución valorando su resultado.</w:t>
      </w:r>
    </w:p>
    <w:p>
      <w:pPr>
        <w:spacing w:line="360" w:lineRule="auto"/>
        <w:jc w:val="both"/>
      </w:pPr>
      <w:r>
        <w:rPr>
          <w:rFonts w:ascii="Arial" w:hAnsi="Arial"/>
          <w:b w:val="0"/>
          <w:i w:val="0"/>
          <w:sz w:val="28"/>
        </w:rPr>
        <w:t>Se solicita el estudio preferente de este concepto, pues, tratándose de una violación procesal que exige reponer el procedimiento, su acogimiento hace innecesario el examen de los conceptos de fondo y otorga a la persona quejosa la posibilidad real de que la controversia se decida conforme a la verdad de los hechos.</w:t>
      </w:r>
    </w:p>
    <w:p/>
    <w:p>
      <w:r>
        <w:rPr>
          <w:rFonts w:ascii="Arial" w:hAnsi="Arial"/>
          <w:b/>
          <w:sz w:val="22"/>
        </w:rPr>
        <w:t>NOTAS</w:t>
      </w:r>
    </w:p>
    <w:p>
      <w:pPr>
        <w:spacing w:after="60"/>
        <w:ind w:left="360" w:hanging="360"/>
        <w:jc w:val="both"/>
      </w:pPr>
      <w:r>
        <w:rPr>
          <w:rFonts w:ascii="Arial" w:hAnsi="Arial"/>
          <w:sz w:val="20"/>
          <w:vertAlign w:val="superscript"/>
        </w:rPr>
        <w:t>1</w:t>
      </w:r>
      <w:r>
        <w:rPr>
          <w:sz w:val="20"/>
        </w:rPr>
        <w:t xml:space="preserve"> </w:t>
      </w:r>
      <w:r>
        <w:rPr>
          <w:rFonts w:ascii="Arial" w:hAnsi="Arial"/>
          <w:i w:val="0"/>
          <w:sz w:val="20"/>
        </w:rPr>
        <w:t xml:space="preserve">VIGO, Rodolfo L., </w:t>
      </w:r>
      <w:r>
        <w:rPr>
          <w:rFonts w:ascii="Arial" w:hAnsi="Arial"/>
          <w:i/>
          <w:sz w:val="20"/>
        </w:rPr>
        <w:t>La interpretación (argumentación) jurídica en el Estado de Derecho Constitucional</w:t>
      </w:r>
      <w:r>
        <w:rPr>
          <w:rFonts w:ascii="Arial" w:hAnsi="Arial"/>
          <w:i w:val="0"/>
          <w:sz w:val="20"/>
        </w:rPr>
        <w:t>, Tirant lo Blanch, México, 2017, p. 190.</w:t>
      </w:r>
    </w:p>
    <w:p>
      <w:pPr>
        <w:spacing w:after="60"/>
        <w:ind w:left="360" w:hanging="360"/>
        <w:jc w:val="both"/>
      </w:pPr>
      <w:r>
        <w:rPr>
          <w:rFonts w:ascii="Arial" w:hAnsi="Arial"/>
          <w:sz w:val="20"/>
          <w:vertAlign w:val="superscript"/>
        </w:rPr>
        <w:t>2</w:t>
      </w:r>
      <w:r>
        <w:rPr>
          <w:sz w:val="20"/>
        </w:rPr>
        <w:t xml:space="preserve"> </w:t>
      </w:r>
      <w:r>
        <w:rPr>
          <w:rFonts w:ascii="Arial" w:hAnsi="Arial"/>
          <w:i w:val="0"/>
          <w:sz w:val="20"/>
        </w:rPr>
        <w:t xml:space="preserve">IBARRA OLGUÍN, Ana María (ed.), </w:t>
      </w:r>
      <w:r>
        <w:rPr>
          <w:rFonts w:ascii="Arial" w:hAnsi="Arial"/>
          <w:i/>
          <w:sz w:val="20"/>
        </w:rPr>
        <w:t>Curso de derechos humanos</w:t>
      </w:r>
      <w:r>
        <w:rPr>
          <w:rFonts w:ascii="Arial" w:hAnsi="Arial"/>
          <w:i w:val="0"/>
          <w:sz w:val="20"/>
        </w:rPr>
        <w:t>, Tirant lo Blanch, México, 2022, p. 344.</w:t>
      </w:r>
    </w:p>
    <w:p>
      <w:pPr>
        <w:spacing w:after="60"/>
        <w:ind w:left="360" w:hanging="360"/>
        <w:jc w:val="both"/>
      </w:pPr>
      <w:r>
        <w:rPr>
          <w:rFonts w:ascii="Arial" w:hAnsi="Arial"/>
          <w:sz w:val="20"/>
          <w:vertAlign w:val="superscript"/>
        </w:rPr>
        <w:t>3</w:t>
      </w:r>
      <w:r>
        <w:rPr>
          <w:sz w:val="20"/>
        </w:rPr>
        <w:t xml:space="preserve"> </w:t>
      </w:r>
      <w:r>
        <w:rPr>
          <w:rFonts w:ascii="Arial" w:hAnsi="Arial"/>
          <w:i w:val="0"/>
          <w:sz w:val="20"/>
        </w:rPr>
        <w:t xml:space="preserve">EZQUIAGA GANUZAS, Francisco Javier, </w:t>
      </w:r>
      <w:r>
        <w:rPr>
          <w:rFonts w:ascii="Arial" w:hAnsi="Arial"/>
          <w:i/>
          <w:sz w:val="20"/>
        </w:rPr>
        <w:t>La motivación de las decisiones interpretativas electorales</w:t>
      </w:r>
      <w:r>
        <w:rPr>
          <w:rFonts w:ascii="Arial" w:hAnsi="Arial"/>
          <w:i w:val="0"/>
          <w:sz w:val="20"/>
        </w:rPr>
        <w:t>, Tribunal Electoral del Poder Judicial de la Federación, México, 2012, p. 232.</w:t>
      </w:r>
    </w:p>
    <w:p>
      <w:pPr>
        <w:spacing w:after="60"/>
        <w:ind w:left="360" w:hanging="360"/>
        <w:jc w:val="both"/>
      </w:pPr>
      <w:r>
        <w:rPr>
          <w:rFonts w:ascii="Arial" w:hAnsi="Arial"/>
          <w:sz w:val="20"/>
          <w:vertAlign w:val="superscript"/>
        </w:rPr>
        <w:t>4</w:t>
      </w:r>
      <w:r>
        <w:rPr>
          <w:sz w:val="20"/>
        </w:rPr>
        <w:t xml:space="preserve"> </w:t>
      </w:r>
      <w:r>
        <w:rPr>
          <w:rFonts w:ascii="Arial" w:hAnsi="Arial"/>
          <w:i w:val="0"/>
          <w:sz w:val="20"/>
        </w:rPr>
        <w:t>EZQUIAGA GANUZAS, op. cit.</w:t>
      </w:r>
      <w:r>
        <w:rPr>
          <w:rFonts w:ascii="Arial" w:hAnsi="Arial"/>
          <w:i w:val="0"/>
          <w:sz w:val="20"/>
        </w:rPr>
        <w:t>, p. 190.</w:t>
      </w:r>
    </w:p>
    <w:p>
      <w:pPr>
        <w:spacing w:after="60"/>
        <w:ind w:left="360" w:hanging="360"/>
        <w:jc w:val="both"/>
      </w:pPr>
      <w:r>
        <w:rPr>
          <w:rFonts w:ascii="Arial" w:hAnsi="Arial"/>
          <w:sz w:val="20"/>
          <w:vertAlign w:val="superscript"/>
        </w:rPr>
        <w:t>5</w:t>
      </w:r>
      <w:r>
        <w:rPr>
          <w:sz w:val="20"/>
        </w:rPr>
        <w:t xml:space="preserve"> </w:t>
      </w:r>
      <w:r>
        <w:rPr>
          <w:rFonts w:ascii="Arial" w:hAnsi="Arial"/>
          <w:i w:val="0"/>
          <w:sz w:val="20"/>
        </w:rPr>
        <w:t xml:space="preserve">GARCÍA DAMBORENEA, Ricardo, </w:t>
      </w:r>
      <w:r>
        <w:rPr>
          <w:rFonts w:ascii="Arial" w:hAnsi="Arial"/>
          <w:i/>
          <w:sz w:val="20"/>
        </w:rPr>
        <w:t>Diccionario de falacias</w:t>
      </w:r>
      <w:r>
        <w:rPr>
          <w:rFonts w:ascii="Arial" w:hAnsi="Arial"/>
          <w:i w:val="0"/>
          <w:sz w:val="20"/>
        </w:rPr>
        <w:t>, s. f., p. 84.</w:t>
      </w:r>
    </w:p>
    <w:p>
      <w:pPr>
        <w:spacing w:after="60"/>
        <w:ind w:left="360" w:hanging="360"/>
        <w:jc w:val="both"/>
      </w:pPr>
      <w:r>
        <w:rPr>
          <w:rFonts w:ascii="Arial" w:hAnsi="Arial"/>
          <w:sz w:val="20"/>
          <w:vertAlign w:val="superscript"/>
        </w:rPr>
        <w:t>6</w:t>
      </w:r>
      <w:r>
        <w:rPr>
          <w:sz w:val="20"/>
        </w:rPr>
        <w:t xml:space="preserve"> </w:t>
      </w:r>
      <w:r>
        <w:rPr>
          <w:rFonts w:ascii="Arial" w:hAnsi="Arial"/>
          <w:i w:val="0"/>
          <w:sz w:val="20"/>
        </w:rPr>
        <w:t xml:space="preserve">MORA RAMIREZ, Rafael, </w:t>
      </w:r>
      <w:r>
        <w:rPr>
          <w:rFonts w:ascii="Arial" w:hAnsi="Arial"/>
          <w:i/>
          <w:sz w:val="20"/>
        </w:rPr>
        <w:t>Para comprender a las falacias</w:t>
      </w:r>
      <w:r>
        <w:rPr>
          <w:rFonts w:ascii="Arial" w:hAnsi="Arial"/>
          <w:i w:val="0"/>
          <w:sz w:val="20"/>
        </w:rPr>
        <w:t>, Acuedu Ediciones, s. f., p. 88.</w:t>
      </w:r>
    </w:p>
    <w:p/>
    <w:p>
      <w:r>
        <w:rPr>
          <w:rFonts w:ascii="Arial" w:hAnsi="Arial"/>
          <w:b/>
          <w:sz w:val="22"/>
        </w:rPr>
        <w:t>BIBLIOGRAFÍA</w:t>
      </w:r>
    </w:p>
    <w:p>
      <w:pPr>
        <w:spacing w:after="60"/>
        <w:ind w:left="360" w:hanging="360"/>
        <w:jc w:val="both"/>
      </w:pPr>
      <w:r>
        <w:rPr>
          <w:rFonts w:ascii="Arial" w:hAnsi="Arial"/>
          <w:i w:val="0"/>
          <w:sz w:val="20"/>
        </w:rPr>
        <w:t xml:space="preserve">EZQUIAGA GANUZAS, Francisco Javier, </w:t>
      </w:r>
      <w:r>
        <w:rPr>
          <w:rFonts w:ascii="Arial" w:hAnsi="Arial"/>
          <w:i/>
          <w:sz w:val="20"/>
        </w:rPr>
        <w:t>La motivación de las decisiones interpretativas electorales</w:t>
      </w:r>
      <w:r>
        <w:rPr>
          <w:rFonts w:ascii="Arial" w:hAnsi="Arial"/>
          <w:i w:val="0"/>
          <w:sz w:val="20"/>
        </w:rPr>
        <w:t>, Tribunal Electoral del Poder Judicial de la Federación, México, 2012.</w:t>
      </w:r>
    </w:p>
    <w:p>
      <w:pPr>
        <w:spacing w:after="60"/>
        <w:ind w:left="360" w:hanging="360"/>
        <w:jc w:val="both"/>
      </w:pPr>
      <w:r>
        <w:rPr>
          <w:rFonts w:ascii="Arial" w:hAnsi="Arial"/>
          <w:i w:val="0"/>
          <w:sz w:val="20"/>
        </w:rPr>
        <w:t xml:space="preserve">GARCÍA DAMBORENEA, Ricardo, </w:t>
      </w:r>
      <w:r>
        <w:rPr>
          <w:rFonts w:ascii="Arial" w:hAnsi="Arial"/>
          <w:i/>
          <w:sz w:val="20"/>
        </w:rPr>
        <w:t>Diccionario de falacias</w:t>
      </w:r>
      <w:r>
        <w:rPr>
          <w:rFonts w:ascii="Arial" w:hAnsi="Arial"/>
          <w:i w:val="0"/>
          <w:sz w:val="20"/>
        </w:rPr>
        <w:t>, s. f.</w:t>
      </w:r>
    </w:p>
    <w:p>
      <w:pPr>
        <w:spacing w:after="60"/>
        <w:ind w:left="360" w:hanging="360"/>
        <w:jc w:val="both"/>
      </w:pPr>
      <w:r>
        <w:rPr>
          <w:rFonts w:ascii="Arial" w:hAnsi="Arial"/>
          <w:i w:val="0"/>
          <w:sz w:val="20"/>
        </w:rPr>
        <w:t xml:space="preserve">IBARRA OLGUÍN, Ana María (ed.), </w:t>
      </w:r>
      <w:r>
        <w:rPr>
          <w:rFonts w:ascii="Arial" w:hAnsi="Arial"/>
          <w:i/>
          <w:sz w:val="20"/>
        </w:rPr>
        <w:t>Curso de derechos humanos</w:t>
      </w:r>
      <w:r>
        <w:rPr>
          <w:rFonts w:ascii="Arial" w:hAnsi="Arial"/>
          <w:i w:val="0"/>
          <w:sz w:val="20"/>
        </w:rPr>
        <w:t>, Tirant lo Blanch, México, 2022.</w:t>
      </w:r>
    </w:p>
    <w:p>
      <w:pPr>
        <w:spacing w:after="60"/>
        <w:ind w:left="360" w:hanging="360"/>
        <w:jc w:val="both"/>
      </w:pPr>
      <w:r>
        <w:rPr>
          <w:rFonts w:ascii="Arial" w:hAnsi="Arial"/>
          <w:i w:val="0"/>
          <w:sz w:val="20"/>
        </w:rPr>
        <w:t xml:space="preserve">MORA RAMIREZ, Rafael, </w:t>
      </w:r>
      <w:r>
        <w:rPr>
          <w:rFonts w:ascii="Arial" w:hAnsi="Arial"/>
          <w:i/>
          <w:sz w:val="20"/>
        </w:rPr>
        <w:t>Para comprender a las falacias</w:t>
      </w:r>
      <w:r>
        <w:rPr>
          <w:rFonts w:ascii="Arial" w:hAnsi="Arial"/>
          <w:i w:val="0"/>
          <w:sz w:val="20"/>
        </w:rPr>
        <w:t>, Acuedu Ediciones, s. f.</w:t>
      </w:r>
    </w:p>
    <w:p>
      <w:pPr>
        <w:spacing w:after="60"/>
        <w:ind w:left="360" w:hanging="360"/>
        <w:jc w:val="both"/>
      </w:pPr>
      <w:r>
        <w:rPr>
          <w:rFonts w:ascii="Arial" w:hAnsi="Arial"/>
          <w:i w:val="0"/>
          <w:sz w:val="20"/>
        </w:rPr>
        <w:t xml:space="preserve">VIGO, Rodolfo L., </w:t>
      </w:r>
      <w:r>
        <w:rPr>
          <w:rFonts w:ascii="Arial" w:hAnsi="Arial"/>
          <w:i/>
          <w:sz w:val="20"/>
        </w:rPr>
        <w:t>La interpretación (argumentación) jurídica en el Estado de Derecho Constitucional</w:t>
      </w:r>
      <w:r>
        <w:rPr>
          <w:rFonts w:ascii="Arial" w:hAnsi="Arial"/>
          <w:i w:val="0"/>
          <w:sz w:val="20"/>
        </w:rPr>
        <w:t>, Tirant lo Blanch, México, 2017.</w:t>
      </w:r>
    </w:p>
    <w:sectPr w:rsidR="00FC693F" w:rsidRPr="0006063C" w:rsidSect="00034616">
      <w:footerReference w:type="default" r:id="rId9"/>
      <w:pgSz w:w="12246" w:h="19276"/>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sz w:val="20"/>
      </w:rPr>
      <w:t xml:space="preserve">Página </w:t>
    </w:r>
    <w:r>
      <w:rPr>
        <w:rFonts w:ascii="Arial" w:hAnsi="Arial"/>
        <w:sz w:val="20"/>
      </w:rPr>
      <w:fldChar w:fldCharType="begin"/>
      <w:instrText xml:space="preserve">PAGE</w:instrText>
      <w:fldChar w:fldCharType="end"/>
    </w:r>
    <w:r>
      <w:rPr>
        <w:rFonts w:ascii="Arial" w:hAnsi="Arial"/>
        <w:sz w:val="20"/>
      </w:rPr>
      <w:t xml:space="preserve"> de </w:t>
    </w:r>
    <w:r>
      <w:rPr>
        <w:rFonts w:ascii="Arial" w:hAnsi="Arial"/>
        <w:sz w:val="20"/>
      </w:rPr>
      <w:fldChar w:fldCharType="begin"/>
      <w:instrText xml:space="preserve">NUMPAGES</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