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DIRECTO. FACTOR 1.11 A LA PENSIÓN DE CESANTÍA AJUSTADA AL SALARIO MÍNIMO</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adáptalo al concepto de violación de tu demanda de amparo directo. Primero reúne la resolución de otorgamiento de la pensión, el dictamen o las hojas de cálculo del Instituto y la sentencia del Tribunal Laboral, e identifica el considerando exacto donde se negó el factor y la razón que se dio. Verifica que el monto inicial coincida con el salario mínimo general vigente en la fecha de inicio y que la pensión no haya sido nivelada por el inciso a) del transitorio.</w:t>
      </w:r>
    </w:p>
    <w:p>
      <w:pPr>
        <w:spacing w:line="360" w:lineRule="auto"/>
        <w:jc w:val="both"/>
      </w:pPr>
      <w:r>
        <w:rPr>
          <w:rFonts w:ascii="Arial" w:hAnsi="Arial"/>
          <w:b w:val="0"/>
          <w:i w:val="0"/>
          <w:sz w:val="24"/>
        </w:rPr>
        <w:t>Después ubica a tu Tribunal Laboral: si pertenece a la región Centro-Norte, conserva el párrafo que invoca la jurisprudencia como obligatoria; si no, elimínalo y deja sólo el que la presenta como criterio orientador. Llena los campos editables, cuida el plazo de presentación de la demanda de amparo directo conforme a la Ley de Amparo y preséntala por conducto de la autoridad responsable.</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[FECHA DE LA SENTENCIA RECLAMADA]</w:t>
      </w:r>
      <w:r>
        <w:rPr>
          <w:rFonts w:ascii="Arial" w:hAnsi="Arial"/>
          <w:b w:val="0"/>
          <w:i w:val="0"/>
          <w:sz w:val="24"/>
        </w:rPr>
        <w:t>: la fecha que ostenta la sentencia del Tribunal Laboral.</w:t>
      </w:r>
    </w:p>
    <w:p>
      <w:pPr>
        <w:spacing w:line="360" w:lineRule="auto"/>
        <w:jc w:val="both"/>
      </w:pPr>
      <w:r>
        <w:rPr>
          <w:rFonts w:ascii="Arial" w:hAnsi="Arial"/>
          <w:b/>
          <w:i w:val="0"/>
          <w:sz w:val="24"/>
        </w:rPr>
        <w:t>[TRIBUNAL LABORAL FEDERAL RESPONSABLE]</w:t>
      </w:r>
      <w:r>
        <w:rPr>
          <w:rFonts w:ascii="Arial" w:hAnsi="Arial"/>
          <w:b w:val="0"/>
          <w:i w:val="0"/>
          <w:sz w:val="24"/>
        </w:rPr>
        <w:t>: denominación completa del tribunal que dictó la sentencia.</w:t>
      </w:r>
    </w:p>
    <w:p>
      <w:pPr>
        <w:spacing w:line="360" w:lineRule="auto"/>
        <w:jc w:val="both"/>
      </w:pPr>
      <w:r>
        <w:rPr>
          <w:rFonts w:ascii="Arial" w:hAnsi="Arial"/>
          <w:b/>
          <w:i w:val="0"/>
          <w:sz w:val="24"/>
        </w:rPr>
        <w:t>[NÚMERO DE EXPEDIENTE DEL CONFLICTO INDIVIDUAL DE SEGURIDAD SOCIAL]</w:t>
      </w:r>
      <w:r>
        <w:rPr>
          <w:rFonts w:ascii="Arial" w:hAnsi="Arial"/>
          <w:b w:val="0"/>
          <w:i w:val="0"/>
          <w:sz w:val="24"/>
        </w:rPr>
        <w:t>: el expediente del juicio de origen.</w:t>
      </w:r>
    </w:p>
    <w:p>
      <w:pPr>
        <w:spacing w:line="360" w:lineRule="auto"/>
        <w:jc w:val="both"/>
      </w:pPr>
      <w:r>
        <w:rPr>
          <w:rFonts w:ascii="Arial" w:hAnsi="Arial"/>
          <w:b/>
          <w:i w:val="0"/>
          <w:sz w:val="24"/>
        </w:rPr>
        <w:t>[NOMBRE DE LA PERSONA QUEJOSA]</w:t>
      </w:r>
      <w:r>
        <w:rPr>
          <w:rFonts w:ascii="Arial" w:hAnsi="Arial"/>
          <w:b w:val="0"/>
          <w:i w:val="0"/>
          <w:sz w:val="24"/>
        </w:rPr>
        <w:t>: la persona pensionada que promueve el amparo.</w:t>
      </w:r>
    </w:p>
    <w:p>
      <w:pPr>
        <w:spacing w:line="360" w:lineRule="auto"/>
        <w:jc w:val="both"/>
      </w:pPr>
      <w:r>
        <w:rPr>
          <w:rFonts w:ascii="Arial" w:hAnsi="Arial"/>
          <w:b/>
          <w:i w:val="0"/>
          <w:sz w:val="24"/>
        </w:rPr>
        <w:t>[FECHA DE NOTIFICACIÓN DE LA SENTENCIA RECLAMADA]</w:t>
      </w:r>
      <w:r>
        <w:rPr>
          <w:rFonts w:ascii="Arial" w:hAnsi="Arial"/>
          <w:b w:val="0"/>
          <w:i w:val="0"/>
          <w:sz w:val="24"/>
        </w:rPr>
        <w:t>: día en que se te notificó la sentencia; sirve para acreditar la oportunidad.</w:t>
      </w:r>
    </w:p>
    <w:p>
      <w:pPr>
        <w:spacing w:line="360" w:lineRule="auto"/>
        <w:jc w:val="both"/>
      </w:pPr>
      <w:r>
        <w:rPr>
          <w:rFonts w:ascii="Arial" w:hAnsi="Arial"/>
          <w:b/>
          <w:i w:val="0"/>
          <w:sz w:val="24"/>
        </w:rPr>
        <w:t>[CONSIDERANDO Y FOJA DE LA SENTENCIA RECLAMADA DONDE SE NIEGA EL FACTOR]</w:t>
      </w:r>
      <w:r>
        <w:rPr>
          <w:rFonts w:ascii="Arial" w:hAnsi="Arial"/>
          <w:b w:val="0"/>
          <w:i w:val="0"/>
          <w:sz w:val="24"/>
        </w:rPr>
        <w:t>: el considerando y la foja exacta donde la responsable negó el factor 1.11.</w:t>
      </w:r>
    </w:p>
    <w:p>
      <w:pPr>
        <w:spacing w:line="360" w:lineRule="auto"/>
        <w:jc w:val="both"/>
      </w:pPr>
      <w:r>
        <w:rPr>
          <w:rFonts w:ascii="Arial" w:hAnsi="Arial"/>
          <w:b/>
          <w:i w:val="0"/>
          <w:sz w:val="24"/>
        </w:rPr>
        <w:t>[NÚMERO DE RESOLUCIÓN DE OTORGAMIENTO DE PENSIÓN]</w:t>
      </w:r>
      <w:r>
        <w:rPr>
          <w:rFonts w:ascii="Arial" w:hAnsi="Arial"/>
          <w:b w:val="0"/>
          <w:i w:val="0"/>
          <w:sz w:val="24"/>
        </w:rPr>
        <w:t>: el número de la resolución del Instituto que otorgó la pensión.</w:t>
      </w:r>
    </w:p>
    <w:p>
      <w:pPr>
        <w:spacing w:line="360" w:lineRule="auto"/>
        <w:jc w:val="both"/>
      </w:pPr>
      <w:r>
        <w:rPr>
          <w:rFonts w:ascii="Arial" w:hAnsi="Arial"/>
          <w:b/>
          <w:i w:val="0"/>
          <w:sz w:val="24"/>
        </w:rPr>
        <w:t>[FECHA DE INICIO DE LA PENSIÓN]</w:t>
      </w:r>
      <w:r>
        <w:rPr>
          <w:rFonts w:ascii="Arial" w:hAnsi="Arial"/>
          <w:b w:val="0"/>
          <w:i w:val="0"/>
          <w:sz w:val="24"/>
        </w:rPr>
        <w:t>: la fecha de inicio de vigencia que señala la resolución.</w:t>
      </w:r>
    </w:p>
    <w:p>
      <w:pPr>
        <w:spacing w:line="360" w:lineRule="auto"/>
        <w:jc w:val="both"/>
      </w:pPr>
      <w:r>
        <w:rPr>
          <w:rFonts w:ascii="Arial" w:hAnsi="Arial"/>
          <w:b/>
          <w:i w:val="0"/>
          <w:sz w:val="24"/>
        </w:rPr>
        <w:t>[MONTO INICIAL DE LA PENSIÓN SEGÚN LA RESOLUCIÓN]</w:t>
      </w:r>
      <w:r>
        <w:rPr>
          <w:rFonts w:ascii="Arial" w:hAnsi="Arial"/>
          <w:b w:val="0"/>
          <w:i w:val="0"/>
          <w:sz w:val="24"/>
        </w:rPr>
        <w:t>: la cuantía mensual inicial que aparece en la resolución.</w:t>
      </w:r>
    </w:p>
    <w:p>
      <w:pPr>
        <w:spacing w:line="360" w:lineRule="auto"/>
        <w:jc w:val="both"/>
      </w:pPr>
      <w:r>
        <w:rPr>
          <w:rFonts w:ascii="Arial" w:hAnsi="Arial"/>
          <w:b/>
          <w:i w:val="0"/>
          <w:sz w:val="24"/>
        </w:rPr>
        <w:t>[SALARIO MÍNIMO GENERAL VIGENTE A LA FECHA DE INICIO DE LA PENSIÓN]</w:t>
      </w:r>
      <w:r>
        <w:rPr>
          <w:rFonts w:ascii="Arial" w:hAnsi="Arial"/>
          <w:b w:val="0"/>
          <w:i w:val="0"/>
          <w:sz w:val="24"/>
        </w:rPr>
        <w:t>: el salario mínimo general diario o mensual vigente en esa fecha, según la Comisión Nacional de los Salarios Mínimos.</w:t>
      </w:r>
    </w:p>
    <w:p>
      <w:pPr>
        <w:spacing w:line="360" w:lineRule="auto"/>
        <w:jc w:val="both"/>
      </w:pPr>
      <w:r>
        <w:rPr>
          <w:rFonts w:ascii="Arial" w:hAnsi="Arial"/>
          <w:b/>
          <w:i w:val="0"/>
          <w:sz w:val="24"/>
        </w:rPr>
        <w:t>[PRECISIÓN SOBRE SI LA RESPONSABLE PERTENECE A LA REGIÓN CENTRO-NORTE: SI PERTENECE, LA JURISPRUDENCIA LE ERA OBLIGATORIA; SI NO, SE INVOCA COMO CRITERIO ORIENTADOR POR LA FUERZA DE SUS RAZONES]</w:t>
      </w:r>
      <w:r>
        <w:rPr>
          <w:rFonts w:ascii="Arial" w:hAnsi="Arial"/>
          <w:b w:val="0"/>
          <w:i w:val="0"/>
          <w:sz w:val="24"/>
        </w:rPr>
        <w:t>: sustituye el corchete por la oración que corresponda: la jurisprudencia le era obligatoria, o se invoca como criterio orientador.</w:t>
      </w:r>
    </w:p>
    <w:p>
      <w:pPr>
        <w:spacing w:line="360" w:lineRule="auto"/>
        <w:jc w:val="both"/>
      </w:pPr>
      <w:r>
        <w:rPr>
          <w:rFonts w:ascii="Arial" w:hAnsi="Arial"/>
          <w:b/>
          <w:i w:val="0"/>
          <w:sz w:val="24"/>
        </w:rPr>
        <w:t>[PÁRRAFO A CONSERVAR SI LA RESPONSABLE PERTENECE A LA REGIÓN CENTRO-NORTE]</w:t>
      </w:r>
      <w:r>
        <w:rPr>
          <w:rFonts w:ascii="Arial" w:hAnsi="Arial"/>
          <w:b w:val="0"/>
          <w:i w:val="0"/>
          <w:sz w:val="24"/>
        </w:rPr>
        <w:t>: borra la marca si conservas el párrafo; borra el párrafo completo si tu tribunal está fuera de la región.</w:t>
      </w:r>
    </w:p>
    <w:p>
      <w:pPr>
        <w:spacing w:line="360" w:lineRule="auto"/>
        <w:jc w:val="both"/>
      </w:pPr>
      <w:r>
        <w:rPr>
          <w:rFonts w:ascii="Arial" w:hAnsi="Arial"/>
          <w:b/>
          <w:i w:val="0"/>
          <w:sz w:val="24"/>
        </w:rPr>
        <w:t>[PRESTACIONES ACCESORIAS RECLAMADAS EN EL CONFLICTO]</w:t>
      </w:r>
      <w:r>
        <w:rPr>
          <w:rFonts w:ascii="Arial" w:hAnsi="Arial"/>
          <w:b w:val="0"/>
          <w:i w:val="0"/>
          <w:sz w:val="24"/>
        </w:rPr>
        <w:t>: las prestaciones accesorias que reclamaste en la demanda de origen, como aguinaldo o asignaciones familiares sobre las diferencias.</w:t>
      </w:r>
    </w:p>
    <w:p/>
    <w:p>
      <w:pPr>
        <w:spacing w:line="360" w:lineRule="auto"/>
        <w:jc w:val="both"/>
      </w:pPr>
      <w:r>
        <w:rPr>
          <w:rFonts w:ascii="Arial" w:hAnsi="Arial"/>
          <w:b/>
          <w:sz w:val="28"/>
        </w:rPr>
        <w:t>[NÚMERO ORDINAL DEL CONCEPTO] CONCEPTO DE VIOLACIÓN. Aplicación inexacta del artículo Décimo Cuarto Transitorio del decreto de reformas a la Ley del Seguro Social publicado el 5 de enero de 2004. La responsable negó el factor 1.11 a la pensión de cesantía en edad avanzada de la persona quejosa bajo la idea de un «sobreincremento», equiparando el ajuste al salario mínimo del artículo 168 de la Ley del Seguro Social derogada con la nivelación del inciso a) del transitorio, cuando se trata de beneficios independientes que se aplican de manera conjunta y sucesiva.</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sentencia de </w:t>
      </w:r>
      <w:r>
        <w:rPr>
          <w:rFonts w:ascii="Arial" w:hAnsi="Arial"/>
          <w:b/>
          <w:i w:val="0"/>
          <w:sz w:val="28"/>
        </w:rPr>
        <w:t>[FECHA DE LA SENTENCIA RECLAMADA]</w:t>
      </w:r>
      <w:r>
        <w:rPr>
          <w:rFonts w:ascii="Arial" w:hAnsi="Arial"/>
          <w:b w:val="0"/>
          <w:i w:val="0"/>
          <w:sz w:val="28"/>
        </w:rPr>
        <w:t xml:space="preserve">, dictada por el </w:t>
      </w:r>
      <w:r>
        <w:rPr>
          <w:rFonts w:ascii="Arial" w:hAnsi="Arial"/>
          <w:b/>
          <w:i w:val="0"/>
          <w:sz w:val="28"/>
        </w:rPr>
        <w:t>[TRIBUNAL LABORAL FEDERAL RESPONSABLE]</w:t>
      </w:r>
      <w:r>
        <w:rPr>
          <w:rFonts w:ascii="Arial" w:hAnsi="Arial"/>
          <w:b w:val="0"/>
          <w:i w:val="0"/>
          <w:sz w:val="28"/>
        </w:rPr>
        <w:t xml:space="preserve"> en el conflicto individual de seguridad social </w:t>
      </w:r>
      <w:r>
        <w:rPr>
          <w:rFonts w:ascii="Arial" w:hAnsi="Arial"/>
          <w:b/>
          <w:i w:val="0"/>
          <w:sz w:val="28"/>
        </w:rPr>
        <w:t>[NÚMERO DE EXPEDIENTE DEL CONFLICTO INDIVIDUAL DE SEGURIDAD SOCIAL]</w:t>
      </w:r>
      <w:r>
        <w:rPr>
          <w:rFonts w:ascii="Arial" w:hAnsi="Arial"/>
          <w:b w:val="0"/>
          <w:i w:val="0"/>
          <w:sz w:val="28"/>
        </w:rPr>
        <w:t xml:space="preserve">, aplicó de manera inexacta el artículo Décimo Cuarto Transitorio del decreto de reformas a la Ley del Seguro Social publicado en el Diario Oficial de la Federación el 5 de enero de 2004, al absolver al Instituto Mexicano del Seguro Social de aplicar el factor 1.11 a la pensión de cesantía en edad avanzada de </w:t>
      </w:r>
      <w:r>
        <w:rPr>
          <w:rFonts w:ascii="Arial" w:hAnsi="Arial"/>
          <w:b/>
          <w:i w:val="0"/>
          <w:sz w:val="28"/>
        </w:rPr>
        <w:t>[NOMBRE DE LA PERSONA QUEJOSA]</w:t>
      </w:r>
      <w:r>
        <w:rPr>
          <w:rFonts w:ascii="Arial" w:hAnsi="Arial"/>
          <w:b w:val="0"/>
          <w:i w:val="0"/>
          <w:sz w:val="28"/>
        </w:rPr>
        <w:t>.</w:t>
      </w:r>
    </w:p>
    <w:p>
      <w:pPr>
        <w:spacing w:line="360" w:lineRule="auto"/>
        <w:jc w:val="both"/>
      </w:pPr>
      <w:r>
        <w:rPr>
          <w:rFonts w:ascii="Arial" w:hAnsi="Arial"/>
          <w:b w:val="0"/>
          <w:i w:val="0"/>
          <w:sz w:val="28"/>
        </w:rPr>
        <w:t xml:space="preserve">La responsable razonó que, como el monto inicial de la pensión ya había sido ajustado al cien por ciento del salario mínimo general vigente, aplicarle además el factor 1.11 produciría un </w:t>
      </w:r>
      <w:r>
        <w:rPr>
          <w:rFonts w:ascii="Arial" w:hAnsi="Arial"/>
          <w:b w:val="0"/>
          <w:i/>
          <w:sz w:val="28"/>
        </w:rPr>
        <w:t>«sobreincremento»</w:t>
      </w:r>
      <w:r>
        <w:rPr>
          <w:rFonts w:ascii="Arial" w:hAnsi="Arial"/>
          <w:b w:val="0"/>
          <w:i w:val="0"/>
          <w:sz w:val="28"/>
        </w:rPr>
        <w:t xml:space="preserve"> vedado por el artículo Cuarto Transitorio del propio decreto. Ese razonamiento confunde dos beneficios de origen y naturaleza distintos: el derecho a una pensión mínima garantizada, que nace del artículo 168 de la Ley del Seguro Social derogada, y la nivelación extraordinaria del inciso a) del Décimo Cuarto Transitorio, concebida para las pensiones que ya existían al entrar en vigor el decreto.</w:t>
      </w:r>
    </w:p>
    <w:p>
      <w:pPr>
        <w:spacing w:line="360" w:lineRule="auto"/>
        <w:jc w:val="both"/>
      </w:pPr>
      <w:r>
        <w:rPr>
          <w:rFonts w:ascii="Arial" w:hAnsi="Arial"/>
          <w:b w:val="0"/>
          <w:i w:val="0"/>
          <w:sz w:val="28"/>
        </w:rPr>
        <w:t>Se demostrará que la persona pensionada cuyo monto inicial se fijó en un salario mínimo por mandato del artículo 168 se ubica precisamente en el supuesto del inciso b) del Décimo Cuarto Transitorio y tiene derecho, de manera adicional, al incremento del once por ciento que ese inciso ordena; que el artículo Cuarto Transitorio sólo prohíbe aplicar simultáneamente los incisos a) y b), hipótesis ajena al caso porque el inciso a) nunca se aplicó; y que, ante cualquier duda, el artículo 1o. constitucional obligaba a la responsable a preferir la lectura más favorable a la persona.</w:t>
      </w:r>
    </w:p>
    <w:p>
      <w:pPr>
        <w:spacing w:line="360" w:lineRule="auto"/>
        <w:jc w:val="both"/>
      </w:pPr>
      <w:r>
        <w:rPr>
          <w:rFonts w:ascii="Arial" w:hAnsi="Arial"/>
          <w:b w:val="0"/>
          <w:i w:val="0"/>
          <w:sz w:val="28"/>
        </w:rPr>
        <w:t>Así lo resolvió el Pleno Regional en Materias Penal y de Trabajo de la Región Centro-Norte en jurisprudencia por contradicción de criterios, que este concepto invoca como fundamento central. De prosperar, procede conceder el amparo para que la responsable deje insubsistente su sentencia y dicte otra en la que condene al Instituto a aplicar el factor 1.11 al monto inicial de la pensión, por una sola ocasión, con el pago de las diferencias resultantes.</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reclamado es la sentencia definitiva de </w:t>
      </w:r>
      <w:r>
        <w:rPr>
          <w:rFonts w:ascii="Arial" w:hAnsi="Arial"/>
          <w:b/>
          <w:i w:val="0"/>
          <w:sz w:val="28"/>
        </w:rPr>
        <w:t>[FECHA DE LA SENTENCIA RECLAMADA]</w:t>
      </w:r>
      <w:r>
        <w:rPr>
          <w:rFonts w:ascii="Arial" w:hAnsi="Arial"/>
          <w:b w:val="0"/>
          <w:i w:val="0"/>
          <w:sz w:val="28"/>
        </w:rPr>
        <w:t xml:space="preserve">, dictada por el </w:t>
      </w:r>
      <w:r>
        <w:rPr>
          <w:rFonts w:ascii="Arial" w:hAnsi="Arial"/>
          <w:b/>
          <w:i w:val="0"/>
          <w:sz w:val="28"/>
        </w:rPr>
        <w:t>[TRIBUNAL LABORAL FEDERAL RESPONSABLE]</w:t>
      </w:r>
      <w:r>
        <w:rPr>
          <w:rFonts w:ascii="Arial" w:hAnsi="Arial"/>
          <w:b w:val="0"/>
          <w:i w:val="0"/>
          <w:sz w:val="28"/>
        </w:rPr>
        <w:t xml:space="preserve"> y notificada a la persona quejosa el </w:t>
      </w:r>
      <w:r>
        <w:rPr>
          <w:rFonts w:ascii="Arial" w:hAnsi="Arial"/>
          <w:b/>
          <w:i w:val="0"/>
          <w:sz w:val="28"/>
        </w:rPr>
        <w:t>[FECHA DE NOTIFICACIÓN DE LA SENTENCIA RECLAMADA]</w:t>
      </w:r>
      <w:r>
        <w:rPr>
          <w:rFonts w:ascii="Arial" w:hAnsi="Arial"/>
          <w:b w:val="0"/>
          <w:i w:val="0"/>
          <w:sz w:val="28"/>
        </w:rPr>
        <w:t xml:space="preserve">, en cuyo </w:t>
      </w:r>
      <w:r>
        <w:rPr>
          <w:rFonts w:ascii="Arial" w:hAnsi="Arial"/>
          <w:b/>
          <w:i w:val="0"/>
          <w:sz w:val="28"/>
        </w:rPr>
        <w:t>[CONSIDERANDO Y FOJA DE LA SENTENCIA RECLAMADA DONDE SE NIEGA EL FACTOR]</w:t>
      </w:r>
      <w:r>
        <w:rPr>
          <w:rFonts w:ascii="Arial" w:hAnsi="Arial"/>
          <w:b w:val="0"/>
          <w:i w:val="0"/>
          <w:sz w:val="28"/>
        </w:rPr>
        <w:t xml:space="preserve"> se declaró improcedente la acción de aplicación del factor 1.11 y se absolvió al Instituto Mexicano del Seguro Social de esa prestación y de sus accesorios. Se trata de una sentencia definitiva que decide el fondo de la controversia y pone fin al juicio, de modo que es impugnable en la vía directa.</w:t>
      </w:r>
    </w:p>
    <w:p>
      <w:pPr>
        <w:spacing w:line="360" w:lineRule="auto"/>
        <w:jc w:val="both"/>
      </w:pPr>
      <w:r>
        <w:rPr>
          <w:rFonts w:ascii="Arial" w:hAnsi="Arial"/>
          <w:b w:val="0"/>
          <w:i w:val="0"/>
          <w:sz w:val="28"/>
        </w:rPr>
        <w:t>La doctrina explica que el amparo directo se tramita ante un Tribunal Colegiado de Circuito y tiene como presupuesto que el acto combatido sea una sentencia definitiva, un laudo o una resolución que pone fin al juicio.</w:t>
      </w:r>
      <w:r>
        <w:rPr>
          <w:rFonts w:ascii="Arial" w:hAnsi="Arial"/>
          <w:vertAlign w:val="superscript"/>
        </w:rPr>
        <w:t>1</w:t>
      </w:r>
      <w:r>
        <w:rPr>
          <w:rFonts w:ascii="Arial" w:hAnsi="Arial"/>
          <w:b w:val="0"/>
          <w:i w:val="0"/>
          <w:sz w:val="28"/>
        </w:rPr>
        <w:t xml:space="preserve"> La sentencia reclamada reúne esa calidad, y el vicio que aquí se denuncia es de fondo: una aplicación inexacta de la norma que rige la cuantía de la pensión, no un defecto del procedimiento.</w:t>
      </w:r>
    </w:p>
    <w:p>
      <w:pPr>
        <w:spacing w:line="360" w:lineRule="auto"/>
        <w:jc w:val="both"/>
      </w:pPr>
      <w:r>
        <w:rPr>
          <w:rFonts w:ascii="Arial" w:hAnsi="Arial"/>
          <w:b w:val="0"/>
          <w:i w:val="0"/>
          <w:sz w:val="28"/>
        </w:rPr>
        <w:t>Las normas cuya inobservancia se plantea son el artículo Décimo Cuarto Transitorio, incisos a) y b), del decreto de reformas a la Ley del Seguro Social publicado el 5 de enero de 2004, aplicado de manera inexacta; el artículo Cuarto Transitorio del mismo decreto, aplicado a un supuesto que no regula; el artículo 168 de la Ley del Seguro Social derogada, cuya función como fuente autónoma de la pensión mínima fue desconocida; el artículo 18 de la Ley Federal del Trabajo; y los artículos 1o., párrafos segundo y tercero, 14 y 16 de la Constitución Política de los Estados Unidos Mexicanos.</w:t>
      </w:r>
    </w:p>
    <w:p>
      <w:pPr>
        <w:spacing w:line="360" w:lineRule="auto"/>
        <w:jc w:val="both"/>
      </w:pPr>
      <w:r>
        <w:rPr>
          <w:rFonts w:ascii="Arial" w:hAnsi="Arial"/>
          <w:b w:val="0"/>
          <w:i w:val="0"/>
          <w:sz w:val="28"/>
        </w:rPr>
        <w:t xml:space="preserve">El perjuicio es concreto y permanente. La pensión de la persona quejosa se cuantificó en la resolución </w:t>
      </w:r>
      <w:r>
        <w:rPr>
          <w:rFonts w:ascii="Arial" w:hAnsi="Arial"/>
          <w:b/>
          <w:i w:val="0"/>
          <w:sz w:val="28"/>
        </w:rPr>
        <w:t>[NÚMERO DE RESOLUCIÓN DE OTORGAMIENTO DE PENSIÓN]</w:t>
      </w:r>
      <w:r>
        <w:rPr>
          <w:rFonts w:ascii="Arial" w:hAnsi="Arial"/>
          <w:b w:val="0"/>
          <w:i w:val="0"/>
          <w:sz w:val="28"/>
        </w:rPr>
        <w:t xml:space="preserve">, con fecha de inicio </w:t>
      </w:r>
      <w:r>
        <w:rPr>
          <w:rFonts w:ascii="Arial" w:hAnsi="Arial"/>
          <w:b/>
          <w:i w:val="0"/>
          <w:sz w:val="28"/>
        </w:rPr>
        <w:t>[FECHA DE INICIO DE LA PENSIÓN]</w:t>
      </w:r>
      <w:r>
        <w:rPr>
          <w:rFonts w:ascii="Arial" w:hAnsi="Arial"/>
          <w:b w:val="0"/>
          <w:i w:val="0"/>
          <w:sz w:val="28"/>
        </w:rPr>
        <w:t xml:space="preserve">, en la cantidad de </w:t>
      </w:r>
      <w:r>
        <w:rPr>
          <w:rFonts w:ascii="Arial" w:hAnsi="Arial"/>
          <w:b/>
          <w:i w:val="0"/>
          <w:sz w:val="28"/>
        </w:rPr>
        <w:t>[MONTO INICIAL DE LA PENSIÓN SEGÚN LA RESOLUCIÓN]</w:t>
      </w:r>
      <w:r>
        <w:rPr>
          <w:rFonts w:ascii="Arial" w:hAnsi="Arial"/>
          <w:b w:val="0"/>
          <w:i w:val="0"/>
          <w:sz w:val="28"/>
        </w:rPr>
        <w:t xml:space="preserve">, cifra igual al salario mínimo general entonces vigente, que era de </w:t>
      </w:r>
      <w:r>
        <w:rPr>
          <w:rFonts w:ascii="Arial" w:hAnsi="Arial"/>
          <w:b/>
          <w:i w:val="0"/>
          <w:sz w:val="28"/>
        </w:rPr>
        <w:t>[SALARIO MÍNIMO GENERAL VIGENTE A LA FECHA DE INICIO DE LA PENSIÓN]</w:t>
      </w:r>
      <w:r>
        <w:rPr>
          <w:rFonts w:ascii="Arial" w:hAnsi="Arial"/>
          <w:b w:val="0"/>
          <w:i w:val="0"/>
          <w:sz w:val="28"/>
        </w:rPr>
        <w:t>.</w:t>
      </w:r>
    </w:p>
    <w:p>
      <w:pPr>
        <w:spacing w:line="360" w:lineRule="auto"/>
        <w:jc w:val="both"/>
      </w:pPr>
      <w:r>
        <w:rPr>
          <w:rFonts w:ascii="Arial" w:hAnsi="Arial"/>
          <w:b w:val="0"/>
          <w:i w:val="0"/>
          <w:sz w:val="28"/>
        </w:rPr>
        <w:t>La negativa del factor la priva del once por ciento sobre ese monto inicial, base sobre la cual se calculan las actualizaciones anuales, de modo que el daño se proyecta sobre toda la vida de la pensión y sobre las diferencias vencidas desde su otorgamiento.</w:t>
      </w:r>
    </w:p>
    <w:p>
      <w:pPr>
        <w:spacing w:line="360" w:lineRule="auto"/>
        <w:jc w:val="both"/>
      </w:pPr>
      <w:r>
        <w:rPr>
          <w:rFonts w:ascii="Arial" w:hAnsi="Arial"/>
          <w:b w:val="0"/>
          <w:i w:val="0"/>
          <w:sz w:val="28"/>
        </w:rPr>
        <w:t>Este concepto es el de mayor beneficio para la persona quejosa, pues su acogimiento no conduce a reponer el procedimiento, sino a una sentencia de condena sobre la prestación principal reclamada. Por ello se solicita su estudio preferente, con la suplencia de la queja deficiente que la Ley de Amparo reconoce en favor de la persona trabajadora y pensionada.</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fijar primero el sistema normativo. El artículo 168 de la Ley del Seguro Social derogada garantiza que la pensión de cesantía en edad avanzada no sea inferior al cien por ciento del salario mínimo general vigente al momento en que se cuantifica su monto inicial; es un derecho de toda persona pensionada bajo ese régimen, permanente y no condicionado a fecha alguna. Por su parte, el decreto de reformas publicado el 5 de enero de 2004 contiene, en su artículo Décimo Cuarto Transitorio, dos incisos con destinatarios distintos.</w:t>
      </w:r>
    </w:p>
    <w:p>
      <w:pPr>
        <w:spacing w:line="360" w:lineRule="auto"/>
        <w:jc w:val="both"/>
      </w:pPr>
      <w:r>
        <w:rPr>
          <w:rFonts w:ascii="Arial" w:hAnsi="Arial"/>
          <w:b w:val="0"/>
          <w:i w:val="0"/>
          <w:sz w:val="28"/>
        </w:rPr>
        <w:t>El inciso a) establece un mecanismo extraordinario de nivelación, cuya finalidad consistió en regular la situación de las pensiones existentes al momento de la entrada en vigor del decreto, elevando hasta el salario mínimo las que estuvieran por debajo.</w:t>
      </w:r>
    </w:p>
    <w:p>
      <w:pPr>
        <w:spacing w:line="360" w:lineRule="auto"/>
        <w:jc w:val="both"/>
      </w:pPr>
      <w:r>
        <w:rPr>
          <w:rFonts w:ascii="Arial" w:hAnsi="Arial"/>
          <w:b w:val="0"/>
          <w:i w:val="0"/>
          <w:sz w:val="28"/>
        </w:rPr>
        <w:t>El inciso b), en cambio, ordena aplicar el factor 1.11 a las pensiones cuyo monto es de un salario mínimo, esto es, un incremento del once por ciento que se aplica en una sola ocasión, al fijar el monto inicial, pues la actualización anual posterior corre por cuenta del artículo Décimo Primero Transitorio, conforme al Índice Nacional de Precios al Consumidor. El artículo Cuarto Transitorio prohíbe aplicar simultáneamente ambos incisos.</w:t>
      </w:r>
    </w:p>
    <w:p>
      <w:pPr>
        <w:spacing w:line="360" w:lineRule="auto"/>
        <w:jc w:val="both"/>
      </w:pPr>
      <w:r>
        <w:rPr>
          <w:rFonts w:ascii="Arial" w:hAnsi="Arial"/>
          <w:b w:val="0"/>
          <w:i w:val="0"/>
          <w:sz w:val="28"/>
        </w:rPr>
        <w:t xml:space="preserve">La relación entre esas normas fue fijada por jurisprudencia. El Pleno Regional en Materias Penal y de Trabajo de la Región Centro-Norte, con residencia en la Ciudad de México, resolvió una contradicción de criterios y estableció el criterio de rubro: </w:t>
      </w:r>
      <w:r>
        <w:rPr>
          <w:rFonts w:ascii="Arial" w:hAnsi="Arial"/>
          <w:b w:val="0"/>
          <w:i/>
          <w:sz w:val="28"/>
        </w:rPr>
        <w:t>«PENSIÓN DE CESANTÍA EN EDAD AVANZADA. PROCEDE APLICARLE EL FACTOR 1.11 A QUE SE REFIERE EL ARTÍCULO DÉCIMO CUARTO TRANSITORIO DEL DECRETO DE REFORMAS A LA LEY DEL SEGURO SOCIAL, PUBLICADO EL 5 DE ENERO DE 2004, AUN CUANDO SU MONTO INICIAL HAYA SIDO AJUSTADO AL 100 % DEL SALARIO MÍNIMO GENERAL VIGENTE CONFORME AL ARTÍCULO 168 DE LA LEY DEL SEGURO SOCIAL DEROGADA.»</w:t>
      </w:r>
    </w:p>
    <w:p>
      <w:pPr>
        <w:spacing w:line="360" w:lineRule="auto"/>
        <w:jc w:val="both"/>
      </w:pPr>
      <w:r>
        <w:rPr>
          <w:rFonts w:ascii="Arial" w:hAnsi="Arial"/>
          <w:b w:val="0"/>
          <w:i w:val="0"/>
          <w:sz w:val="28"/>
        </w:rPr>
        <w:t>Se trata de la jurisprudencia PR.P.T.CN. J/10 L (12a.), de la instancia Plenos Regionales, registro digital 2032421, publicada en el Semanario Judicial de la Federación el viernes 10 de julio de 2026 y, por ende, de aplicación obligatoria a partir del lunes 13 de julio de 2026. Su criterio jurídico es el siguiente:</w:t>
      </w:r>
    </w:p>
    <w:p>
      <w:pPr>
        <w:spacing w:line="360" w:lineRule="auto"/>
        <w:jc w:val="both"/>
      </w:pPr>
      <w:r>
        <w:rPr>
          <w:rFonts w:ascii="Arial" w:hAnsi="Arial"/>
          <w:b w:val="0"/>
          <w:i/>
          <w:sz w:val="28"/>
        </w:rPr>
        <w:t>«Procede aplicar el factor 1.11 previsto en el inciso b) del artículo décimo cuarto transitorio del decreto de reformas a la Ley del Seguro Social, publicado el 5 de enero de 2004, a la pensión de cesantía en edad avanzada cuyo monto inicial fue ajustado al 100 % del salario mínimo general vigente conforme al artículo 168 de la Ley del Seguro Social derogada, al tratarse de beneficios independientes que pueden aplicarse de manera conjunta y sucesiva.»</w:t>
      </w:r>
    </w:p>
    <w:p>
      <w:pPr>
        <w:spacing w:line="360" w:lineRule="auto"/>
        <w:jc w:val="both"/>
      </w:pPr>
      <w:r>
        <w:rPr>
          <w:rFonts w:ascii="Arial" w:hAnsi="Arial"/>
          <w:b w:val="0"/>
          <w:i w:val="0"/>
          <w:sz w:val="28"/>
        </w:rPr>
        <w:t>La justificación del Pleno Regional es la que aquí se hace valer. El derecho a una pensión mínima de al menos el cien por ciento del salario mínimo no deriva del inciso a) del transitorio, sino del artículo 168; el inciso a) no menciona ni excluye ese supuesto, ni dispone que el derecho mínimo del artículo 168 deba entenderse comprendido en los incrementos transitorios del decreto.</w:t>
      </w:r>
    </w:p>
    <w:p>
      <w:pPr>
        <w:spacing w:line="360" w:lineRule="auto"/>
        <w:jc w:val="both"/>
      </w:pPr>
      <w:r>
        <w:rPr>
          <w:rFonts w:ascii="Arial" w:hAnsi="Arial"/>
          <w:b w:val="0"/>
          <w:i w:val="0"/>
          <w:sz w:val="28"/>
        </w:rPr>
        <w:t>Aunque ambas normas conducen al mismo resultado aritmético, la duda que genera el artículo Cuarto Transitorio debe resolverse con el principio pro persona, de modo que quien alcanzó el mínimo por el artículo 168 queda en el supuesto del inciso b) y accede, adicionalmente, al factor 1.11.</w:t>
      </w:r>
    </w:p>
    <w:p>
      <w:pPr>
        <w:spacing w:line="360" w:lineRule="auto"/>
        <w:jc w:val="both"/>
      </w:pPr>
      <w:r>
        <w:rPr>
          <w:rFonts w:ascii="Arial" w:hAnsi="Arial"/>
          <w:b w:val="0"/>
          <w:i w:val="0"/>
          <w:sz w:val="28"/>
        </w:rPr>
        <w:t xml:space="preserve">En cuanto a su fuerza vinculante, el artículo 217 de la Ley de Amparo dispone que la jurisprudencia que establezcan los plenos regionales es obligatoria para todas las autoridades jurisdiccionales de la Federación y de las entidades federativas de su región. </w:t>
      </w:r>
      <w:r>
        <w:rPr>
          <w:rFonts w:ascii="Arial" w:hAnsi="Arial"/>
          <w:b/>
          <w:i w:val="0"/>
          <w:sz w:val="28"/>
        </w:rPr>
        <w:t>[PRECISIÓN SOBRE SI LA RESPONSABLE PERTENECE A LA REGIÓN CENTRO-NORTE: SI PERTENECE, LA JURISPRUDENCIA LE ERA OBLIGATORIA; SI NO, SE INVOCA COMO CRITERIO ORIENTADOR POR LA FUERZA DE SUS RAZONES]</w:t>
      </w:r>
      <w:r>
        <w:rPr>
          <w:rFonts w:ascii="Arial" w:hAnsi="Arial"/>
          <w:b w:val="0"/>
          <w:i w:val="0"/>
          <w:sz w:val="28"/>
        </w:rPr>
        <w:t>. Ese Tribunal Colegiado no está vinculado por ella, pero se le pide que la adopte, pues sus razones resuelven de manera completa la cuestión planteada.</w:t>
      </w:r>
    </w:p>
    <w:p>
      <w:pPr>
        <w:spacing w:line="360" w:lineRule="auto"/>
        <w:jc w:val="both"/>
      </w:pPr>
      <w:r>
        <w:rPr>
          <w:rFonts w:ascii="Arial" w:hAnsi="Arial"/>
          <w:b w:val="0"/>
          <w:i w:val="0"/>
          <w:sz w:val="28"/>
        </w:rPr>
        <w:t>El criterio descansa en el principio pro persona, que la doctrina describe en dos vertientes: la interpretativa, como mandato constitucional de preferir la interpretación que más favorezca a la persona según las circunstancias del caso, y la normativa, como criterio de solución de antinomias que ordena aplicar la norma más favorable.</w:t>
      </w:r>
      <w:r>
        <w:rPr>
          <w:rFonts w:ascii="Arial" w:hAnsi="Arial"/>
          <w:vertAlign w:val="superscript"/>
        </w:rPr>
        <w:t>2</w:t>
      </w:r>
      <w:r>
        <w:rPr>
          <w:rFonts w:ascii="Arial" w:hAnsi="Arial"/>
          <w:b w:val="0"/>
          <w:i w:val="0"/>
          <w:sz w:val="28"/>
        </w:rPr>
        <w:t xml:space="preserve"> Cuando el artículo Cuarto Transitorio se lee en tensión con el artículo 168, ambas vertientes conducen al mismo lugar: la lectura que conserva el derecho mínimo y añade el factor.</w:t>
      </w:r>
    </w:p>
    <w:p>
      <w:pPr>
        <w:spacing w:line="360" w:lineRule="auto"/>
        <w:jc w:val="both"/>
      </w:pPr>
      <w:r>
        <w:rPr>
          <w:rFonts w:ascii="Arial" w:hAnsi="Arial"/>
          <w:b w:val="0"/>
          <w:i w:val="0"/>
          <w:sz w:val="28"/>
        </w:rPr>
        <w:t>En la materia de trabajo ese mandato tiene una expresión propia. La doctrina sobre argumentación judicial identifica el principio in dubio pro operario como uno de los principios fundamentales de la legislación laboral mexicana, referido precisamente a la duda sobre la interpretación de las normas y no a la valoración de las pruebas.</w:t>
      </w:r>
      <w:r>
        <w:rPr>
          <w:rFonts w:ascii="Arial" w:hAnsi="Arial"/>
          <w:vertAlign w:val="superscript"/>
        </w:rPr>
        <w:t>3</w:t>
      </w:r>
      <w:r>
        <w:rPr>
          <w:rFonts w:ascii="Arial" w:hAnsi="Arial"/>
          <w:b w:val="0"/>
          <w:i w:val="0"/>
          <w:sz w:val="28"/>
        </w:rPr>
        <w:t xml:space="preserve"> La cuestión que la responsable resolvió en contra de la persona quejosa no era de hechos, sino de interpretación normativa, que es el terreno exacto donde ese principio opera.</w:t>
      </w:r>
    </w:p>
    <w:p>
      <w:pPr>
        <w:spacing w:line="360" w:lineRule="auto"/>
        <w:jc w:val="both"/>
      </w:pPr>
      <w:r>
        <w:rPr>
          <w:rFonts w:ascii="Arial" w:hAnsi="Arial"/>
          <w:b w:val="0"/>
          <w:i w:val="0"/>
          <w:sz w:val="28"/>
        </w:rPr>
        <w:t>El artículo 18 de la Ley Federal del Trabajo ordena tomar en consideración las finalidades de las normas de trabajo al interpretarlas y, en caso de duda, preferir la interpretación más favorable a la persona trabajadora, regla que la doctrina hermenéutica presenta, junto con los principios generales de justicia social que derivan del artículo 123 constitucional, como parte de los principios que la propia ley fija para interpretar las normas laborales.</w:t>
      </w:r>
      <w:r>
        <w:rPr>
          <w:rFonts w:ascii="Arial" w:hAnsi="Arial"/>
          <w:vertAlign w:val="superscript"/>
        </w:rPr>
        <w:t>4</w:t>
      </w:r>
    </w:p>
    <w:p>
      <w:pPr>
        <w:spacing w:line="360" w:lineRule="auto"/>
        <w:jc w:val="both"/>
      </w:pPr>
      <w:r>
        <w:rPr>
          <w:rFonts w:ascii="Arial" w:hAnsi="Arial"/>
          <w:b w:val="0"/>
          <w:i w:val="0"/>
          <w:sz w:val="28"/>
        </w:rPr>
        <w:t>Las normas sobre pensiones del Seguro Social participan de esa finalidad protectora, de modo que la duda sobre el alcance del transitorio no podía resolverse restringiendo la pensión.</w:t>
      </w:r>
    </w:p>
    <w:p>
      <w:pPr>
        <w:spacing w:line="360" w:lineRule="auto"/>
        <w:jc w:val="both"/>
      </w:pPr>
      <w:r>
        <w:rPr>
          <w:rFonts w:ascii="Arial" w:hAnsi="Arial"/>
          <w:b w:val="0"/>
          <w:i w:val="0"/>
          <w:sz w:val="28"/>
        </w:rPr>
        <w:t>De todo ello se obtiene la premisa mayor: el ajuste del monto inicial al salario mínimo por el artículo 168 y el incremento del inciso b) del Décimo Cuarto Transitorio son beneficios independientes, que se aplican de manera conjunta y sucesiva; la prohibición del artículo Cuarto Transitorio se limita a la aplicación simultánea de los incisos a) y b); y quien llegó al mínimo por el artículo 168 tiene derecho al factor 1.11 sobre su monto inicial, por una sola vez.</w:t>
      </w:r>
    </w:p>
    <w:p>
      <w:pPr>
        <w:spacing w:line="360" w:lineRule="auto"/>
        <w:jc w:val="both"/>
      </w:pPr>
      <w:r>
        <w:rPr>
          <w:rFonts w:ascii="Arial" w:hAnsi="Arial"/>
          <w:b/>
          <w:sz w:val="28"/>
        </w:rPr>
        <w:t>IV. Aplicación al caso concreto y refutación de la sentencia reclamada.</w:t>
      </w:r>
    </w:p>
    <w:p>
      <w:pPr>
        <w:spacing w:line="360" w:lineRule="auto"/>
        <w:jc w:val="both"/>
      </w:pPr>
      <w:r>
        <w:rPr>
          <w:rFonts w:ascii="Arial" w:hAnsi="Arial"/>
          <w:b w:val="0"/>
          <w:i w:val="0"/>
          <w:sz w:val="28"/>
        </w:rPr>
        <w:t xml:space="preserve">Los hechos acreditados en el juicio encuadran en esa premisa. La resolución </w:t>
      </w:r>
      <w:r>
        <w:rPr>
          <w:rFonts w:ascii="Arial" w:hAnsi="Arial"/>
          <w:b/>
          <w:i w:val="0"/>
          <w:sz w:val="28"/>
        </w:rPr>
        <w:t>[NÚMERO DE RESOLUCIÓN DE OTORGAMIENTO DE PENSIÓN]</w:t>
      </w:r>
      <w:r>
        <w:rPr>
          <w:rFonts w:ascii="Arial" w:hAnsi="Arial"/>
          <w:b w:val="0"/>
          <w:i w:val="0"/>
          <w:sz w:val="28"/>
        </w:rPr>
        <w:t xml:space="preserve"> otorgó a la persona quejosa una pensión de cesantía en edad avanzada con fecha de inicio </w:t>
      </w:r>
      <w:r>
        <w:rPr>
          <w:rFonts w:ascii="Arial" w:hAnsi="Arial"/>
          <w:b/>
          <w:i w:val="0"/>
          <w:sz w:val="28"/>
        </w:rPr>
        <w:t>[FECHA DE INICIO DE LA PENSIÓN]</w:t>
      </w:r>
      <w:r>
        <w:rPr>
          <w:rFonts w:ascii="Arial" w:hAnsi="Arial"/>
          <w:b w:val="0"/>
          <w:i w:val="0"/>
          <w:sz w:val="28"/>
        </w:rPr>
        <w:t xml:space="preserve"> y monto inicial de </w:t>
      </w:r>
      <w:r>
        <w:rPr>
          <w:rFonts w:ascii="Arial" w:hAnsi="Arial"/>
          <w:b/>
          <w:i w:val="0"/>
          <w:sz w:val="28"/>
        </w:rPr>
        <w:t>[MONTO INICIAL DE LA PENSIÓN SEGÚN LA RESOLUCIÓN]</w:t>
      </w:r>
      <w:r>
        <w:rPr>
          <w:rFonts w:ascii="Arial" w:hAnsi="Arial"/>
          <w:b w:val="0"/>
          <w:i w:val="0"/>
          <w:sz w:val="28"/>
        </w:rPr>
        <w:t>, cantidad que coincide con el salario mínimo general vigente en esa fecha. La propia resolución, o en su defecto el dictamen actuarial y las hojas de cálculo exhibidas por el Instituto, muestran que ese monto resultó del ajuste al mínimo garantizado, no de la nivelación del inciso a) del transitorio.</w:t>
      </w:r>
    </w:p>
    <w:p>
      <w:pPr>
        <w:spacing w:line="360" w:lineRule="auto"/>
        <w:jc w:val="both"/>
      </w:pPr>
      <w:r>
        <w:rPr>
          <w:rFonts w:ascii="Arial" w:hAnsi="Arial"/>
          <w:b w:val="0"/>
          <w:i w:val="0"/>
          <w:sz w:val="28"/>
        </w:rPr>
        <w:t>La subsunción es directa. Al momento de cuantificarse, la pensión era de un salario mínimo; ese es el supuesto de hecho del inciso b) del Décimo Cuarto Transitorio; luego procedía aplicarle el factor 1.11 sobre el monto inicial, por una sola ocasión. El inciso a) jamás se aplicó, porque la pensión no era una pensión existente al entrar en vigor el decreto que debiera nivelarse, sino una pensión nueva fijada en el mínimo por mandato del artículo 168. La prohibición del artículo Cuarto Transitorio, que sólo veda la aplicación simultánea de ambos incisos, no tiene materia.</w:t>
      </w:r>
    </w:p>
    <w:p>
      <w:pPr>
        <w:spacing w:line="360" w:lineRule="auto"/>
        <w:jc w:val="both"/>
      </w:pPr>
      <w:r>
        <w:rPr>
          <w:rFonts w:ascii="Arial" w:hAnsi="Arial"/>
          <w:b w:val="0"/>
          <w:i w:val="0"/>
          <w:sz w:val="28"/>
        </w:rPr>
        <w:t xml:space="preserve">Frente a ello, la responsable sostuvo, en el </w:t>
      </w:r>
      <w:r>
        <w:rPr>
          <w:rFonts w:ascii="Arial" w:hAnsi="Arial"/>
          <w:b/>
          <w:i w:val="0"/>
          <w:sz w:val="28"/>
        </w:rPr>
        <w:t>[CONSIDERANDO Y FOJA DE LA SENTENCIA RECLAMADA DONDE SE NIEGA EL FACTOR]</w:t>
      </w:r>
      <w:r>
        <w:rPr>
          <w:rFonts w:ascii="Arial" w:hAnsi="Arial"/>
          <w:b w:val="0"/>
          <w:i w:val="0"/>
          <w:sz w:val="28"/>
        </w:rPr>
        <w:t xml:space="preserve">, que la pensión </w:t>
      </w:r>
      <w:r>
        <w:rPr>
          <w:rFonts w:ascii="Arial" w:hAnsi="Arial"/>
          <w:b w:val="0"/>
          <w:i/>
          <w:sz w:val="28"/>
        </w:rPr>
        <w:t>«ya fue incrementada»</w:t>
      </w:r>
      <w:r>
        <w:rPr>
          <w:rFonts w:ascii="Arial" w:hAnsi="Arial"/>
          <w:b w:val="0"/>
          <w:i w:val="0"/>
          <w:sz w:val="28"/>
        </w:rPr>
        <w:t xml:space="preserve"> al mínimo y que aplicarle el factor 1.11 implicaría un </w:t>
      </w:r>
      <w:r>
        <w:rPr>
          <w:rFonts w:ascii="Arial" w:hAnsi="Arial"/>
          <w:b w:val="0"/>
          <w:i/>
          <w:sz w:val="28"/>
        </w:rPr>
        <w:t>«sobreincremento»</w:t>
      </w:r>
      <w:r>
        <w:rPr>
          <w:rFonts w:ascii="Arial" w:hAnsi="Arial"/>
          <w:b w:val="0"/>
          <w:i w:val="0"/>
          <w:sz w:val="28"/>
        </w:rPr>
        <w:t xml:space="preserve"> prohibido, de manera que la persona quejosa sólo podía beneficiarse de uno de los dos ajustes. Ese razonamiento es lógicamente inválido por tres razones independientes, cada una suficiente por sí sola.</w:t>
      </w:r>
    </w:p>
    <w:p>
      <w:pPr>
        <w:spacing w:line="360" w:lineRule="auto"/>
        <w:jc w:val="both"/>
      </w:pPr>
      <w:r>
        <w:rPr>
          <w:rFonts w:ascii="Arial" w:hAnsi="Arial"/>
          <w:b w:val="0"/>
          <w:i w:val="0"/>
          <w:sz w:val="28"/>
        </w:rPr>
        <w:t>En primer lugar, incurre en una falsa analogía. La doctrina enseña que cae en esa falacia todo argumento analógico que no se apoya en una semejanza relevante u olvida diferencias que impiden la conclusión.</w:t>
      </w:r>
      <w:r>
        <w:rPr>
          <w:rFonts w:ascii="Arial" w:hAnsi="Arial"/>
          <w:vertAlign w:val="superscript"/>
        </w:rPr>
        <w:t>5</w:t>
      </w:r>
      <w:r>
        <w:rPr>
          <w:rFonts w:ascii="Arial" w:hAnsi="Arial"/>
          <w:b w:val="0"/>
          <w:i w:val="0"/>
          <w:sz w:val="28"/>
        </w:rPr>
        <w:t xml:space="preserve"> La responsable equiparó el ajuste del artículo 168 con la nivelación del inciso a) por su único parecido, que ambos llevan la pensión al salario mínimo, y olvidó las diferencias decisivas: la fuente, una ley permanente frente a un transitorio; los destinatarios, toda pensión al cuantificarse frente a las pensiones existentes en 2004; y la naturaleza, un derecho mínimo frente a una nivelación extraordinaria.</w:t>
      </w:r>
    </w:p>
    <w:p>
      <w:pPr>
        <w:spacing w:line="360" w:lineRule="auto"/>
        <w:jc w:val="both"/>
      </w:pPr>
      <w:r>
        <w:rPr>
          <w:rFonts w:ascii="Arial" w:hAnsi="Arial"/>
          <w:b w:val="0"/>
          <w:i w:val="0"/>
          <w:sz w:val="28"/>
        </w:rPr>
        <w:t>En segundo lugar, el razonamiento descansa en una falsa disyunción, que la doctrina describe como el vicio que se produce cuando los términos en disyuntiva no son exhaustivos o no son excluyentes, y que convierte en falaz al argumento disyuntivo construido sobre ella.</w:t>
      </w:r>
      <w:r>
        <w:rPr>
          <w:rFonts w:ascii="Arial" w:hAnsi="Arial"/>
          <w:vertAlign w:val="superscript"/>
        </w:rPr>
        <w:t>6</w:t>
      </w:r>
      <w:r>
        <w:rPr>
          <w:rFonts w:ascii="Arial" w:hAnsi="Arial"/>
          <w:b w:val="0"/>
          <w:i w:val="0"/>
          <w:sz w:val="28"/>
        </w:rPr>
        <w:t xml:space="preserve"> La responsable planteó que la pensión llegó al mínimo por el inciso a), y entonces no cabe el inciso b), o bien que no llegó, y entonces nada procede; pero existía una tercera vía, la del artículo 168, que es exactamente la que operó en el caso y la que el Pleno Regional reconoció como independiente.</w:t>
      </w:r>
    </w:p>
    <w:p>
      <w:pPr>
        <w:spacing w:line="360" w:lineRule="auto"/>
        <w:jc w:val="both"/>
      </w:pPr>
      <w:r>
        <w:rPr>
          <w:rFonts w:ascii="Arial" w:hAnsi="Arial"/>
          <w:b w:val="0"/>
          <w:i w:val="0"/>
          <w:sz w:val="28"/>
        </w:rPr>
        <w:t xml:space="preserve">En tercer lugar, el supuesto </w:t>
      </w:r>
      <w:r>
        <w:rPr>
          <w:rFonts w:ascii="Arial" w:hAnsi="Arial"/>
          <w:b w:val="0"/>
          <w:i/>
          <w:sz w:val="28"/>
        </w:rPr>
        <w:t>«sobreincremento»</w:t>
      </w:r>
      <w:r>
        <w:rPr>
          <w:rFonts w:ascii="Arial" w:hAnsi="Arial"/>
          <w:b w:val="0"/>
          <w:i w:val="0"/>
          <w:sz w:val="28"/>
        </w:rPr>
        <w:t xml:space="preserve"> es una conclusión que no se sigue de las normas. El inciso b) fue diseñado precisamente para las pensiones de un salario mínimo; el legislador quiso que quien percibe el mínimo reciba once por ciento más. Negar ese incremento a quien alcanzó el mínimo por el artículo 168 no evita un exceso, sino que crea una desigualdad: dos personas con pensión idéntica de un salario mínimo al momento de cuantificarse recibirían montos distintos según la vía aritmética por la que llegaron a esa cifra, distinción que ninguna de las normas transitorias establece.</w:t>
      </w:r>
    </w:p>
    <w:p>
      <w:pPr>
        <w:spacing w:line="360" w:lineRule="auto"/>
        <w:jc w:val="both"/>
      </w:pPr>
      <w:r>
        <w:rPr>
          <w:rFonts w:ascii="Arial" w:hAnsi="Arial"/>
          <w:b w:val="0"/>
          <w:i w:val="0"/>
          <w:sz w:val="28"/>
        </w:rPr>
        <w:t>Aun si se admitiera que la relación entre el artículo Cuarto Transitorio y el artículo 168 admite dos lecturas, la responsable estaba obligada a escoger la más favorable, tanto por el artículo 1o. constitucional como por el artículo 18 de la Ley Federal del Trabajo. Eligió la más restrictiva, sin exponer por qué la protección del mínimo del artículo 168 debía absorber el beneficio del inciso b). El Pleno Regional resolvió esa misma duda en sentido contrario, y sus razones son las que el sistema constitucional impone.</w:t>
      </w:r>
    </w:p>
    <w:p>
      <w:pPr>
        <w:spacing w:line="360" w:lineRule="auto"/>
        <w:jc w:val="both"/>
      </w:pPr>
      <w:r>
        <w:rPr>
          <w:rFonts w:ascii="Arial" w:hAnsi="Arial"/>
          <w:b/>
          <w:i w:val="0"/>
          <w:sz w:val="28"/>
        </w:rPr>
        <w:t>[PÁRRAFO A CONSERVAR SI LA RESPONSABLE PERTENECE A LA REGIÓN CENTRO-NORTE]</w:t>
      </w:r>
      <w:r>
        <w:rPr>
          <w:rFonts w:ascii="Arial" w:hAnsi="Arial"/>
          <w:b w:val="0"/>
          <w:i w:val="0"/>
          <w:sz w:val="28"/>
        </w:rPr>
        <w:t xml:space="preserve"> La sentencia reclamada, además, desatendió una jurisprudencia que le era obligatoria conforme al artículo 217 de la Ley de Amparo, publicada el viernes 10 de julio de 2026 y obligatoria desde el lunes 13 de julio de 2026. Y aun si la sentencia fuera anterior a esa fecha, el criterio no crea la norma, sino que fija su sentido, y su aplicación beneficia a la persona quejosa, de modo que ninguna objeción de retroactividad podría oponerse a que ese Tribunal Colegiado lo aplique al resolver.</w:t>
      </w:r>
    </w:p>
    <w:p>
      <w:pPr>
        <w:spacing w:line="360" w:lineRule="auto"/>
        <w:jc w:val="both"/>
      </w:pPr>
      <w:r>
        <w:rPr>
          <w:rFonts w:ascii="Arial" w:hAnsi="Arial"/>
          <w:b w:val="0"/>
          <w:i w:val="0"/>
          <w:sz w:val="28"/>
        </w:rPr>
        <w:t>La consecuencia sistémica de la postura de la responsable revela el error: si el ajuste al mínimo del artículo 168 consumiera el beneficio del inciso b), ninguna persona pensionada bajo el régimen derogado que hubiera alcanzado el mínimo por esa vía recibiría jamás el factor 1.11, y el inciso b) quedaría reservado a quienes, por azar de su salario de cotización, obtuvieran exactamente un salario mínimo sin ajuste. Una interpretación que vacía de contenido un beneficio legal para las pensiones más bajas es incompatible con la finalidad protectora de la seguridad social.</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artículo 168 de la Ley del Seguro Social derogada garantiza una pensión mínima de un salario mínimo como derecho propio; el inciso b) del Décimo Cuarto Transitorio ordena aplicar el factor 1.11 a las pensiones de ese monto; ambos son beneficios independientes que se aplican de manera conjunta y sucesiva; el artículo Cuarto Transitorio sólo prohíbe aplicar a la vez los incisos a) y b); y la responsable, al negar el factor por un supuesto sobreincremento, aplicó inexactamente esas normas mediante una falsa analogía y una falsa disyunción, en contra de la jurisprudencia PR.P.T.CN. J/10 L (12a.).</w:t>
      </w:r>
    </w:p>
    <w:p>
      <w:pPr>
        <w:spacing w:line="360" w:lineRule="auto"/>
        <w:jc w:val="both"/>
      </w:pPr>
      <w:r>
        <w:rPr>
          <w:rFonts w:ascii="Arial" w:hAnsi="Arial"/>
          <w:b w:val="0"/>
          <w:i w:val="0"/>
          <w:sz w:val="28"/>
        </w:rPr>
        <w:t>Por lo expuesto, procede declarar fundado este concepto de violación y conceder el amparo y protección de la Justicia Federal para el efecto de que la responsable deje insubsistente la sentencia reclamada y dicte otra en la que, siguiendo el criterio del Pleno Regional, declare procedente la acción y condene al Instituto Mexicano del Seguro Social a aplicar el factor 1.11 al monto inicial de la pensión de cesantía en edad avanzada de la persona quejosa, por una sola ocasión.</w:t>
      </w:r>
    </w:p>
    <w:p>
      <w:pPr>
        <w:spacing w:line="360" w:lineRule="auto"/>
        <w:jc w:val="both"/>
      </w:pPr>
      <w:r>
        <w:rPr>
          <w:rFonts w:ascii="Arial" w:hAnsi="Arial"/>
          <w:b w:val="0"/>
          <w:i w:val="0"/>
          <w:sz w:val="28"/>
        </w:rPr>
        <w:t xml:space="preserve">La condena debe comprender el pago de las diferencias generadas desde </w:t>
      </w:r>
      <w:r>
        <w:rPr>
          <w:rFonts w:ascii="Arial" w:hAnsi="Arial"/>
          <w:b/>
          <w:i w:val="0"/>
          <w:sz w:val="28"/>
        </w:rPr>
        <w:t>[FECHA DE INICIO DE LA PENSIÓN]</w:t>
      </w:r>
      <w:r>
        <w:rPr>
          <w:rFonts w:ascii="Arial" w:hAnsi="Arial"/>
          <w:b w:val="0"/>
          <w:i w:val="0"/>
          <w:sz w:val="28"/>
        </w:rPr>
        <w:t xml:space="preserve">, con las actualizaciones anuales que correspondan, así como </w:t>
      </w:r>
      <w:r>
        <w:rPr>
          <w:rFonts w:ascii="Arial" w:hAnsi="Arial"/>
          <w:b/>
          <w:i w:val="0"/>
          <w:sz w:val="28"/>
        </w:rPr>
        <w:t>[PRESTACIONES ACCESORIAS RECLAMADAS EN EL CONFLICTO]</w:t>
      </w:r>
      <w:r>
        <w:rPr>
          <w:rFonts w:ascii="Arial" w:hAnsi="Arial"/>
          <w:b w:val="0"/>
          <w:i w:val="0"/>
          <w:sz w:val="28"/>
        </w:rPr>
        <w:t>.</w:t>
      </w:r>
    </w:p>
    <w:p>
      <w:pPr>
        <w:spacing w:line="360" w:lineRule="auto"/>
        <w:jc w:val="both"/>
      </w:pPr>
      <w:r>
        <w:rPr>
          <w:rFonts w:ascii="Arial" w:hAnsi="Arial"/>
          <w:b w:val="0"/>
          <w:i w:val="0"/>
          <w:sz w:val="28"/>
        </w:rPr>
        <w:t>Se solicita el estudio preferente de este concepto, pues su acogimiento otorga a la persona quejosa el mayor beneficio jurídico posible y hace innecesario el examen de los restantes, sin perjuicio de la suplencia de la queja deficiente que la Ley de Amparo reconoce en favor de la persona trabajadora y pensionada.</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124.</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MEDELLÍN URQUIAGA, Ximena, </w:t>
      </w:r>
      <w:r>
        <w:rPr>
          <w:rFonts w:ascii="Arial" w:hAnsi="Arial"/>
          <w:i/>
          <w:sz w:val="20"/>
        </w:rPr>
        <w:t>Principio pro persona</w:t>
      </w:r>
      <w:r>
        <w:rPr>
          <w:rFonts w:ascii="Arial" w:hAnsi="Arial"/>
          <w:i w:val="0"/>
          <w:sz w:val="20"/>
        </w:rPr>
        <w:t>, Comisión de Derechos Humanos del Distrito Federal, México, 2013, p. 90.</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 p. 655.</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HERNÁNDEZ MANRÍQUEZ, Javier, </w:t>
      </w:r>
      <w:r>
        <w:rPr>
          <w:rFonts w:ascii="Arial" w:hAnsi="Arial"/>
          <w:i/>
          <w:sz w:val="20"/>
        </w:rPr>
        <w:t>Nociones de hermenéutica e interpretación jurídica en el contexto mexicano</w:t>
      </w:r>
      <w:r>
        <w:rPr>
          <w:rFonts w:ascii="Arial" w:hAnsi="Arial"/>
          <w:i w:val="0"/>
          <w:sz w:val="20"/>
        </w:rPr>
        <w:t>, Universidad Nacional Autónoma de México, Instituto de Investigaciones Jurídicas, México, 2019, p. 92.</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9.</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35.</w:t>
      </w:r>
    </w:p>
    <w:p/>
    <w:p>
      <w:r>
        <w:rPr>
          <w:rFonts w:ascii="Arial" w:hAnsi="Arial"/>
          <w:b/>
          <w:sz w:val="22"/>
        </w:rPr>
        <w:t>BIBLIOGRAFÍA</w:t>
      </w:r>
    </w:p>
    <w:p>
      <w:pPr>
        <w:spacing w:after="60"/>
        <w:ind w:left="360" w:hanging="360"/>
        <w:jc w:val="both"/>
      </w:pPr>
      <w:r>
        <w:rPr>
          <w:rFonts w:ascii="Arial" w:hAnsi="Arial"/>
          <w:i w:val="0"/>
          <w:sz w:val="20"/>
        </w:rPr>
        <w:t xml:space="preserve">DEHESA DÁVILA, Gerardo, </w:t>
      </w:r>
      <w:r>
        <w:rPr>
          <w:rFonts w:ascii="Arial" w:hAnsi="Arial"/>
          <w:i/>
          <w:sz w:val="20"/>
        </w:rPr>
        <w:t>Introducción a la retórica y la argumentación. Elementos de retórica y argumentación para perfeccionar y optimizar el ejercicio de la función jurisdiccional</w:t>
      </w:r>
      <w:r>
        <w:rPr>
          <w:rFonts w:ascii="Arial" w:hAnsi="Arial"/>
          <w:i w:val="0"/>
          <w:sz w:val="20"/>
        </w:rPr>
        <w:t>, 6ª ed., Suprema Corte de Justicia de la Nación, Dirección General de la Coordinación de Compilación y Sistematización de Tesis, México, 2010.</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MANRÍQUEZ, Javier, </w:t>
      </w:r>
      <w:r>
        <w:rPr>
          <w:rFonts w:ascii="Arial" w:hAnsi="Arial"/>
          <w:i/>
          <w:sz w:val="20"/>
        </w:rPr>
        <w:t>Nociones de hermenéutica e interpretación jurídica en el contexto mexicano</w:t>
      </w:r>
      <w:r>
        <w:rPr>
          <w:rFonts w:ascii="Arial" w:hAnsi="Arial"/>
          <w:i w:val="0"/>
          <w:sz w:val="20"/>
        </w:rPr>
        <w:t>, Universidad Nacional Autónoma de México, Instituto de Investigaciones Jurídicas, México, 2019.</w:t>
      </w:r>
    </w:p>
    <w:p>
      <w:pPr>
        <w:spacing w:after="60"/>
        <w:ind w:left="360" w:hanging="360"/>
        <w:jc w:val="both"/>
      </w:pPr>
      <w:r>
        <w:rPr>
          <w:rFonts w:ascii="Arial" w:hAnsi="Arial"/>
          <w:i w:val="0"/>
          <w:sz w:val="20"/>
        </w:rPr>
        <w:t xml:space="preserve">MEDELLÍN URQUIAGA, Ximena, </w:t>
      </w:r>
      <w:r>
        <w:rPr>
          <w:rFonts w:ascii="Arial" w:hAnsi="Arial"/>
          <w:i/>
          <w:sz w:val="20"/>
        </w:rPr>
        <w:t>Principio pro persona</w:t>
      </w:r>
      <w:r>
        <w:rPr>
          <w:rFonts w:ascii="Arial" w:hAnsi="Arial"/>
          <w:i w:val="0"/>
          <w:sz w:val="20"/>
        </w:rPr>
        <w:t>, Comisión de Derechos Humanos del Distrito Federal, México, 2013.</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