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DEMANDA DE NULIDAD TFJA. OPORTUNIDAD CONTRA REGLAS GENERALES AUTOAPLICATIVAS CON VIGENCIA DIFERIDA</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e insértalo como apartado de oportunidad y procedencia en tu demanda de nulidad, antes de los conceptos de impugnación. Primero identifica con precisión la disposición general que impugnas y todos los acuerdos que hayan modificado su artículo transitorio, y confirma en el Diario Oficial de la Federación cuál es la redacción vigente y qué fecha señala como inicio de la obligación.</w:t>
      </w:r>
    </w:p>
    <w:p>
      <w:pPr>
        <w:spacing w:line="360" w:lineRule="auto"/>
        <w:jc w:val="both"/>
      </w:pPr>
      <w:r>
        <w:rPr>
          <w:rFonts w:ascii="Arial" w:hAnsi="Arial"/>
          <w:b w:val="0"/>
          <w:i w:val="0"/>
          <w:sz w:val="24"/>
        </w:rPr>
        <w:t>Después reconstruye el calendario: el plazo de treinta días corre desde el día hábil siguiente a esa fecha, descontando los días inhábiles del calendario del Tribunal Federal de Justicia Administrativa. Verifica si tu Sala Regional pertenece a la región Centro-Sur para presentar la jurisprudencia como obligatoria o como orientadora, y conserva o elimina el párrafo subsidiario sobre el primer acto de aplicación según tu caso. Recuerda que la demanda de nulidad se presenta en treinta días (artículo 58-2, párrafo tercero, de la Ley Federal de Procedimiento Contencioso Administrativo, plazo que rige también en la vía sumaria).</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APARTADO]</w:t>
      </w:r>
      <w:r>
        <w:rPr>
          <w:rFonts w:ascii="Arial" w:hAnsi="Arial"/>
          <w:b w:val="0"/>
          <w:i w:val="0"/>
          <w:sz w:val="24"/>
        </w:rPr>
        <w:t>: el número o inciso que le corresponda dentro de tu demanda.</w:t>
      </w:r>
    </w:p>
    <w:p>
      <w:pPr>
        <w:spacing w:line="360" w:lineRule="auto"/>
        <w:jc w:val="both"/>
      </w:pPr>
      <w:r>
        <w:rPr>
          <w:rFonts w:ascii="Arial" w:hAnsi="Arial"/>
          <w:b/>
          <w:i w:val="0"/>
          <w:sz w:val="24"/>
        </w:rPr>
        <w:t>[DENOMINACIÓN DE LA DISPOSICIÓN GENERAL IMPUGNADA]</w:t>
      </w:r>
      <w:r>
        <w:rPr>
          <w:rFonts w:ascii="Arial" w:hAnsi="Arial"/>
          <w:b w:val="0"/>
          <w:i w:val="0"/>
          <w:sz w:val="24"/>
        </w:rPr>
        <w:t>: el nombre oficial completo de las reglas, acuerdo o lineamientos que impugnas, tal como aparece en el Diario Oficial de la Federación.</w:t>
      </w:r>
    </w:p>
    <w:p>
      <w:pPr>
        <w:spacing w:line="360" w:lineRule="auto"/>
        <w:jc w:val="both"/>
      </w:pPr>
      <w:r>
        <w:rPr>
          <w:rFonts w:ascii="Arial" w:hAnsi="Arial"/>
          <w:b/>
          <w:i w:val="0"/>
          <w:sz w:val="24"/>
        </w:rPr>
        <w:t>[NOMBRE DE LA PARTE ACTORA]</w:t>
      </w:r>
      <w:r>
        <w:rPr>
          <w:rFonts w:ascii="Arial" w:hAnsi="Arial"/>
          <w:b w:val="0"/>
          <w:i w:val="0"/>
          <w:sz w:val="24"/>
        </w:rPr>
        <w:t>: la persona o empresa destinataria de la disposición.</w:t>
      </w:r>
    </w:p>
    <w:p>
      <w:pPr>
        <w:spacing w:line="360" w:lineRule="auto"/>
        <w:jc w:val="both"/>
      </w:pPr>
      <w:r>
        <w:rPr>
          <w:rFonts w:ascii="Arial" w:hAnsi="Arial"/>
          <w:b/>
          <w:i w:val="0"/>
          <w:sz w:val="24"/>
        </w:rPr>
        <w:t>[AUTORIDAD DEMANDADA]</w:t>
      </w:r>
      <w:r>
        <w:rPr>
          <w:rFonts w:ascii="Arial" w:hAnsi="Arial"/>
          <w:b w:val="0"/>
          <w:i w:val="0"/>
          <w:sz w:val="24"/>
        </w:rPr>
        <w:t>: la dependencia u órgano que expidió la disposición, con su denominación completa.</w:t>
      </w:r>
    </w:p>
    <w:p>
      <w:pPr>
        <w:spacing w:line="360" w:lineRule="auto"/>
        <w:jc w:val="both"/>
      </w:pPr>
      <w:r>
        <w:rPr>
          <w:rFonts w:ascii="Arial" w:hAnsi="Arial"/>
          <w:b/>
          <w:i w:val="0"/>
          <w:sz w:val="24"/>
        </w:rPr>
        <w:t>[FECHA DE PUBLICACIÓN DE LA DISPOSICIÓN GENERAL IMPUGNADA]</w:t>
      </w:r>
      <w:r>
        <w:rPr>
          <w:rFonts w:ascii="Arial" w:hAnsi="Arial"/>
          <w:b w:val="0"/>
          <w:i w:val="0"/>
          <w:sz w:val="24"/>
        </w:rPr>
        <w:t>: la fecha de su publicación original en el Diario Oficial de la Federación.</w:t>
      </w:r>
    </w:p>
    <w:p>
      <w:pPr>
        <w:spacing w:line="360" w:lineRule="auto"/>
        <w:jc w:val="both"/>
      </w:pPr>
      <w:r>
        <w:rPr>
          <w:rFonts w:ascii="Arial" w:hAnsi="Arial"/>
          <w:b/>
          <w:i w:val="0"/>
          <w:sz w:val="24"/>
        </w:rPr>
        <w:t>[FECHA DE PUBLICACIÓN DEL ACUERDO QUE MODIFICÓ EL ARTÍCULO TRANSITORIO]</w:t>
      </w:r>
      <w:r>
        <w:rPr>
          <w:rFonts w:ascii="Arial" w:hAnsi="Arial"/>
          <w:b w:val="0"/>
          <w:i w:val="0"/>
          <w:sz w:val="24"/>
        </w:rPr>
        <w:t>: la fecha del último acuerdo que difirió el inicio de la obligación.</w:t>
      </w:r>
    </w:p>
    <w:p>
      <w:pPr>
        <w:spacing w:line="360" w:lineRule="auto"/>
        <w:jc w:val="both"/>
      </w:pPr>
      <w:r>
        <w:rPr>
          <w:rFonts w:ascii="Arial" w:hAnsi="Arial"/>
          <w:b/>
          <w:i w:val="0"/>
          <w:sz w:val="24"/>
        </w:rPr>
        <w:t>[FECHA DE INICIO DE VIGENCIA DE LA OBLIGACIÓN FIJADA EN EL ARTÍCULO TRANSITORIO]</w:t>
      </w:r>
      <w:r>
        <w:rPr>
          <w:rFonts w:ascii="Arial" w:hAnsi="Arial"/>
          <w:b w:val="0"/>
          <w:i w:val="0"/>
          <w:sz w:val="24"/>
        </w:rPr>
        <w:t>: el día que el transitorio vigente señala como inicio de la obligación; es el punto de partida del cómputo.</w:t>
      </w:r>
    </w:p>
    <w:p>
      <w:pPr>
        <w:spacing w:line="360" w:lineRule="auto"/>
        <w:jc w:val="both"/>
      </w:pPr>
      <w:r>
        <w:rPr>
          <w:rFonts w:ascii="Arial" w:hAnsi="Arial"/>
          <w:b/>
          <w:i w:val="0"/>
          <w:sz w:val="24"/>
        </w:rPr>
        <w:t>[NÚMERO Y FECHA DEL TÍTULO DE CONCESIÓN O REGISTRO QUE LA COLOCA COMO DESTINATARIA]</w:t>
      </w:r>
      <w:r>
        <w:rPr>
          <w:rFonts w:ascii="Arial" w:hAnsi="Arial"/>
          <w:b w:val="0"/>
          <w:i w:val="0"/>
          <w:sz w:val="24"/>
        </w:rPr>
        <w:t>: el título, registro o inscripción que acredita que la parte actora está en el supuesto de la norma.</w:t>
      </w:r>
    </w:p>
    <w:p>
      <w:pPr>
        <w:spacing w:line="360" w:lineRule="auto"/>
        <w:jc w:val="both"/>
      </w:pPr>
      <w:r>
        <w:rPr>
          <w:rFonts w:ascii="Arial" w:hAnsi="Arial"/>
          <w:b/>
          <w:i w:val="0"/>
          <w:sz w:val="24"/>
        </w:rPr>
        <w:t>[OBLIGACIÓN CONCRETA QUE LA DISPOSICIÓN IMPONE]</w:t>
      </w:r>
      <w:r>
        <w:rPr>
          <w:rFonts w:ascii="Arial" w:hAnsi="Arial"/>
          <w:b w:val="0"/>
          <w:i w:val="0"/>
          <w:sz w:val="24"/>
        </w:rPr>
        <w:t>: la carga específica que la disposición te impone (por ejemplo, adquirir e instalar un medidor que cumpla determinada norma).</w:t>
      </w:r>
    </w:p>
    <w:p>
      <w:pPr>
        <w:spacing w:line="360" w:lineRule="auto"/>
        <w:jc w:val="both"/>
      </w:pPr>
      <w:r>
        <w:rPr>
          <w:rFonts w:ascii="Arial" w:hAnsi="Arial"/>
          <w:b/>
          <w:i w:val="0"/>
          <w:sz w:val="24"/>
        </w:rPr>
        <w:t>[ÚLTIMO DÍA DEL PLAZO DE TREINTA DÍAS]</w:t>
      </w:r>
      <w:r>
        <w:rPr>
          <w:rFonts w:ascii="Arial" w:hAnsi="Arial"/>
          <w:b w:val="0"/>
          <w:i w:val="0"/>
          <w:sz w:val="24"/>
        </w:rPr>
        <w:t>: el día en que vence el plazo, contado desde el día hábil siguiente al inicio de la vigencia.</w:t>
      </w:r>
    </w:p>
    <w:p>
      <w:pPr>
        <w:spacing w:line="360" w:lineRule="auto"/>
        <w:jc w:val="both"/>
      </w:pPr>
      <w:r>
        <w:rPr>
          <w:rFonts w:ascii="Arial" w:hAnsi="Arial"/>
          <w:b/>
          <w:i w:val="0"/>
          <w:sz w:val="24"/>
        </w:rPr>
        <w:t>[DÍAS INHÁBILES DESCONTADOS]</w:t>
      </w:r>
      <w:r>
        <w:rPr>
          <w:rFonts w:ascii="Arial" w:hAnsi="Arial"/>
          <w:b w:val="0"/>
          <w:i w:val="0"/>
          <w:sz w:val="24"/>
        </w:rPr>
        <w:t>: los días que descontaste conforme al calendario del Tribunal y su acuerdo respectivo.</w:t>
      </w:r>
    </w:p>
    <w:p>
      <w:pPr>
        <w:spacing w:line="360" w:lineRule="auto"/>
        <w:jc w:val="both"/>
      </w:pPr>
      <w:r>
        <w:rPr>
          <w:rFonts w:ascii="Arial" w:hAnsi="Arial"/>
          <w:b/>
          <w:i w:val="0"/>
          <w:sz w:val="24"/>
        </w:rPr>
        <w:t>[FECHA DE PRESENTACIÓN DE LA DEMANDA]</w:t>
      </w:r>
      <w:r>
        <w:rPr>
          <w:rFonts w:ascii="Arial" w:hAnsi="Arial"/>
          <w:b w:val="0"/>
          <w:i w:val="0"/>
          <w:sz w:val="24"/>
        </w:rPr>
        <w:t>: la fecha del acuse de presentación de la demanda.</w:t>
      </w:r>
    </w:p>
    <w:p>
      <w:pPr>
        <w:spacing w:line="360" w:lineRule="auto"/>
        <w:jc w:val="both"/>
      </w:pPr>
      <w:r>
        <w:rPr>
          <w:rFonts w:ascii="Arial" w:hAnsi="Arial"/>
          <w:b/>
          <w:i w:val="0"/>
          <w:sz w:val="24"/>
        </w:rPr>
        <w:t>[CIRCUITO O ENTIDAD EN QUE RESIDE LA SALA REGIONAL]</w:t>
      </w:r>
      <w:r>
        <w:rPr>
          <w:rFonts w:ascii="Arial" w:hAnsi="Arial"/>
          <w:b w:val="0"/>
          <w:i w:val="0"/>
          <w:sz w:val="24"/>
        </w:rPr>
        <w:t>: la sede de tu Sala; si no está en la región Centro-Sur, cambia la frase para presentar la jurisprudencia como orientadora.</w:t>
      </w:r>
    </w:p>
    <w:p>
      <w:pPr>
        <w:spacing w:line="360" w:lineRule="auto"/>
        <w:jc w:val="both"/>
      </w:pPr>
      <w:r>
        <w:rPr>
          <w:rFonts w:ascii="Arial" w:hAnsi="Arial"/>
          <w:b/>
          <w:i w:val="0"/>
          <w:sz w:val="24"/>
        </w:rPr>
        <w:t>[PRIMER ACTO DE APLICACIÓN, SI LO HUBO, O ELIMINAR ESTE PÁRRAFO]</w:t>
      </w:r>
      <w:r>
        <w:rPr>
          <w:rFonts w:ascii="Arial" w:hAnsi="Arial"/>
          <w:b w:val="0"/>
          <w:i w:val="0"/>
          <w:sz w:val="24"/>
        </w:rPr>
        <w:t>: el requerimiento, oficio o visita en que la autoridad aplicó la disposición, si existe; si no, elimina el párrafo subsidiario.</w:t>
      </w:r>
    </w:p>
    <w:p>
      <w:pPr>
        <w:spacing w:line="360" w:lineRule="auto"/>
        <w:jc w:val="both"/>
      </w:pPr>
      <w:r>
        <w:rPr>
          <w:rFonts w:ascii="Arial" w:hAnsi="Arial"/>
          <w:b/>
          <w:i w:val="0"/>
          <w:sz w:val="24"/>
        </w:rPr>
        <w:t>[SALA REGIONAL DEL TRIBUNAL FEDERAL DE JUSTICIA ADMINISTRATIVA]</w:t>
      </w:r>
      <w:r>
        <w:rPr>
          <w:rFonts w:ascii="Arial" w:hAnsi="Arial"/>
          <w:b w:val="0"/>
          <w:i w:val="0"/>
          <w:sz w:val="24"/>
        </w:rPr>
        <w:t>: la denominación completa de la Sala ante la que presentas la demanda.</w:t>
      </w:r>
    </w:p>
    <w:p/>
    <w:p>
      <w:pPr>
        <w:spacing w:line="360" w:lineRule="auto"/>
        <w:jc w:val="both"/>
      </w:pPr>
      <w:r>
        <w:rPr>
          <w:rFonts w:ascii="Arial" w:hAnsi="Arial"/>
          <w:b/>
          <w:sz w:val="28"/>
        </w:rPr>
        <w:t>[NÚMERO ORDINAL DEL APARTADO]. OPORTUNIDAD Y PROCEDENCIA DE LA DEMANDA CONTRA UNA DISPOSICIÓN GENERAL AUTOAPLICATIVA CUYA VIGENCIA FUE DIFERIDA. El plazo de treinta días para impugnar [DENOMINACIÓN DE LA DISPOSICIÓN GENERAL IMPUGNADA] con motivo de su sola entrada en vigor se computa desde el día en que inició la obligación conforme a su artículo transitorio diferido, y no desde la publicación del acuerdo que lo modificó, en términos de los artículos 2o., párrafo segundo, y 13, fracción I, inciso b), de la Ley Federal de Procedimiento Contencioso Administrativo y de la jurisprudencia PR.A.C.CS. J/6 A (12a.).</w:t>
      </w:r>
    </w:p>
    <w:p>
      <w:pPr>
        <w:spacing w:line="360" w:lineRule="auto"/>
        <w:jc w:val="both"/>
      </w:pPr>
      <w:r>
        <w:rPr>
          <w:rFonts w:ascii="Arial" w:hAnsi="Arial"/>
          <w:b/>
          <w:sz w:val="28"/>
        </w:rPr>
        <w:t>I. Síntesis del apartado.</w:t>
      </w:r>
    </w:p>
    <w:p>
      <w:pPr>
        <w:spacing w:line="360" w:lineRule="auto"/>
        <w:jc w:val="both"/>
      </w:pPr>
      <w:r>
        <w:rPr>
          <w:rFonts w:ascii="Arial" w:hAnsi="Arial"/>
          <w:b w:val="0"/>
          <w:i w:val="0"/>
          <w:sz w:val="28"/>
        </w:rPr>
        <w:t xml:space="preserve">En este apartado se demostrará que la presente demanda de nulidad, promovida por </w:t>
      </w:r>
      <w:r>
        <w:rPr>
          <w:rFonts w:ascii="Arial" w:hAnsi="Arial"/>
          <w:b/>
          <w:i w:val="0"/>
          <w:sz w:val="28"/>
        </w:rPr>
        <w:t>[NOMBRE DE LA PARTE ACTORA]</w:t>
      </w:r>
      <w:r>
        <w:rPr>
          <w:rFonts w:ascii="Arial" w:hAnsi="Arial"/>
          <w:b w:val="0"/>
          <w:i w:val="0"/>
          <w:sz w:val="28"/>
        </w:rPr>
        <w:t xml:space="preserve"> contra </w:t>
      </w:r>
      <w:r>
        <w:rPr>
          <w:rFonts w:ascii="Arial" w:hAnsi="Arial"/>
          <w:b/>
          <w:i w:val="0"/>
          <w:sz w:val="28"/>
        </w:rPr>
        <w:t>[DENOMINACIÓN DE LA DISPOSICIÓN GENERAL IMPUGNADA]</w:t>
      </w:r>
      <w:r>
        <w:rPr>
          <w:rFonts w:ascii="Arial" w:hAnsi="Arial"/>
          <w:b w:val="0"/>
          <w:i w:val="0"/>
          <w:sz w:val="28"/>
        </w:rPr>
        <w:t xml:space="preserve">, expedida por </w:t>
      </w:r>
      <w:r>
        <w:rPr>
          <w:rFonts w:ascii="Arial" w:hAnsi="Arial"/>
          <w:b/>
          <w:i w:val="0"/>
          <w:sz w:val="28"/>
        </w:rPr>
        <w:t>[AUTORIDAD DEMANDADA]</w:t>
      </w:r>
      <w:r>
        <w:rPr>
          <w:rFonts w:ascii="Arial" w:hAnsi="Arial"/>
          <w:b w:val="0"/>
          <w:i w:val="0"/>
          <w:sz w:val="28"/>
        </w:rPr>
        <w:t>, es oportuna y procedente, porque se impugna una disposición administrativa de carácter general en su carácter autoaplicativo, y el plazo de treinta días para hacerlo corre a partir del día en que la obligación que impone entró en vigor, fecha que fijó su artículo transitorio tal como quedó modificado por el último acuerdo de diferimiento.</w:t>
      </w:r>
    </w:p>
    <w:p>
      <w:pPr>
        <w:spacing w:line="360" w:lineRule="auto"/>
        <w:jc w:val="both"/>
      </w:pPr>
      <w:r>
        <w:rPr>
          <w:rFonts w:ascii="Arial" w:hAnsi="Arial"/>
          <w:b w:val="0"/>
          <w:i w:val="0"/>
          <w:sz w:val="28"/>
        </w:rPr>
        <w:t>La demostración descansa en una distinción elemental que la autoridad demandada suele confundir: una cosa es la fecha en que se publica un acuerdo que modifica el artículo transitorio de la disposición, y otra muy distinta la fecha que ese transitorio señala como inicio de la obligación. Mientras la segunda no llega, la disposición general está en vacatio legis, no obliga a nadie, no causa perjuicio a nadie y, por lo mismo, no puede ser impugnada con motivo de su sola vigencia.</w:t>
      </w:r>
    </w:p>
    <w:p>
      <w:pPr>
        <w:spacing w:line="360" w:lineRule="auto"/>
        <w:jc w:val="both"/>
      </w:pPr>
      <w:r>
        <w:rPr>
          <w:rFonts w:ascii="Arial" w:hAnsi="Arial"/>
          <w:b w:val="0"/>
          <w:i w:val="0"/>
          <w:sz w:val="28"/>
        </w:rPr>
        <w:t>Ese es exactamente el criterio jurídico que fijó el Pleno Regional en Materias Administrativa y Civil de la Región Centro-Sur en la jurisprudencia PR.A.C.CS. J/6 A (12a.), al resolver una contradicción de criterios sobre las Reglas Generales de medición de aguas nacionales, cuyo inicio de obligación fue diferido en varias ocasiones. Si esa regla de cómputo se respeta, la conclusión es una sola: la demanda se presentó dentro de los treinta días siguientes al inicio de la vigencia de la obligación y no se actualiza causal alguna de improcedencia por consentimiento.</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El acto impugnado es </w:t>
      </w:r>
      <w:r>
        <w:rPr>
          <w:rFonts w:ascii="Arial" w:hAnsi="Arial"/>
          <w:b/>
          <w:i w:val="0"/>
          <w:sz w:val="28"/>
        </w:rPr>
        <w:t>[DENOMINACIÓN DE LA DISPOSICIÓN GENERAL IMPUGNADA]</w:t>
      </w:r>
      <w:r>
        <w:rPr>
          <w:rFonts w:ascii="Arial" w:hAnsi="Arial"/>
          <w:b w:val="0"/>
          <w:i w:val="0"/>
          <w:sz w:val="28"/>
        </w:rPr>
        <w:t xml:space="preserve">, publicada en el Diario Oficial de la Federación el </w:t>
      </w:r>
      <w:r>
        <w:rPr>
          <w:rFonts w:ascii="Arial" w:hAnsi="Arial"/>
          <w:b/>
          <w:i w:val="0"/>
          <w:sz w:val="28"/>
        </w:rPr>
        <w:t>[FECHA DE PUBLICACIÓN DE LA DISPOSICIÓN GENERAL IMPUGNADA]</w:t>
      </w:r>
      <w:r>
        <w:rPr>
          <w:rFonts w:ascii="Arial" w:hAnsi="Arial"/>
          <w:b w:val="0"/>
          <w:i w:val="0"/>
          <w:sz w:val="28"/>
        </w:rPr>
        <w:t xml:space="preserve">, junto con el acuerdo que modificó su artículo transitorio, publicado el </w:t>
      </w:r>
      <w:r>
        <w:rPr>
          <w:rFonts w:ascii="Arial" w:hAnsi="Arial"/>
          <w:b/>
          <w:i w:val="0"/>
          <w:sz w:val="28"/>
        </w:rPr>
        <w:t>[FECHA DE PUBLICACIÓN DEL ACUERDO QUE MODIFICÓ EL ARTÍCULO TRANSITORIO]</w:t>
      </w:r>
      <w:r>
        <w:rPr>
          <w:rFonts w:ascii="Arial" w:hAnsi="Arial"/>
          <w:b w:val="0"/>
          <w:i w:val="0"/>
          <w:sz w:val="28"/>
        </w:rPr>
        <w:t>, y con las normas técnicas a las que dicha disposición remite y cuya observancia vuelve obligatoria. Todo ello se impugna como un sistema normativo, pues cada pieza cobra sentido sólo en relación con las demás.</w:t>
      </w:r>
    </w:p>
    <w:p>
      <w:pPr>
        <w:spacing w:line="360" w:lineRule="auto"/>
        <w:jc w:val="both"/>
      </w:pPr>
      <w:r>
        <w:rPr>
          <w:rFonts w:ascii="Arial" w:hAnsi="Arial"/>
          <w:b w:val="0"/>
          <w:i w:val="0"/>
          <w:sz w:val="28"/>
        </w:rPr>
        <w:t xml:space="preserve">La disposición impugnada impone a la parte actora, titular de </w:t>
      </w:r>
      <w:r>
        <w:rPr>
          <w:rFonts w:ascii="Arial" w:hAnsi="Arial"/>
          <w:b/>
          <w:i w:val="0"/>
          <w:sz w:val="28"/>
        </w:rPr>
        <w:t>[NÚMERO Y FECHA DEL TÍTULO DE CONCESIÓN O REGISTRO QUE LA COLOCA COMO DESTINATARIA]</w:t>
      </w:r>
      <w:r>
        <w:rPr>
          <w:rFonts w:ascii="Arial" w:hAnsi="Arial"/>
          <w:b w:val="0"/>
          <w:i w:val="0"/>
          <w:sz w:val="28"/>
        </w:rPr>
        <w:t xml:space="preserve">, la obligación de </w:t>
      </w:r>
      <w:r>
        <w:rPr>
          <w:rFonts w:ascii="Arial" w:hAnsi="Arial"/>
          <w:b/>
          <w:i w:val="0"/>
          <w:sz w:val="28"/>
        </w:rPr>
        <w:t>[OBLIGACIÓN CONCRETA QUE LA DISPOSICIÓN IMPONE]</w:t>
      </w:r>
      <w:r>
        <w:rPr>
          <w:rFonts w:ascii="Arial" w:hAnsi="Arial"/>
          <w:b w:val="0"/>
          <w:i w:val="0"/>
          <w:sz w:val="28"/>
        </w:rPr>
        <w:t>, sin que para ello se requiera acto alguno de la autoridad: basta con que la parte actora se ubique en el supuesto de la norma, como en efecto se ubica, para que la obligación nazca y sea exigible desde el día que el artículo transitorio señala como inicio de su vigencia.</w:t>
      </w:r>
    </w:p>
    <w:p>
      <w:pPr>
        <w:spacing w:line="360" w:lineRule="auto"/>
        <w:jc w:val="both"/>
      </w:pPr>
      <w:r>
        <w:rPr>
          <w:rFonts w:ascii="Arial" w:hAnsi="Arial"/>
          <w:b w:val="0"/>
          <w:i w:val="0"/>
          <w:sz w:val="28"/>
        </w:rPr>
        <w:t>Las normas que rigen la oportunidad y la procedencia de esta demanda son el artículo 2o., párrafo segundo, de la Ley Federal de Procedimiento Contencioso Administrativo, que abre el juicio contra los actos administrativos, decretos y acuerdos de carácter general, diversos a los reglamentos, cuando sean autoaplicativos; y el artículo 13, fracción I, inciso b), de la misma ley, que fija el plazo de treinta días contados a partir de que haya iniciado su vigencia la disposición general autoaplicativa.</w:t>
      </w:r>
    </w:p>
    <w:p>
      <w:pPr>
        <w:spacing w:line="360" w:lineRule="auto"/>
        <w:jc w:val="both"/>
      </w:pPr>
      <w:r>
        <w:rPr>
          <w:rFonts w:ascii="Arial" w:hAnsi="Arial"/>
          <w:b w:val="0"/>
          <w:i w:val="0"/>
          <w:sz w:val="28"/>
        </w:rPr>
        <w:t xml:space="preserve">El perjuicio que legitima a la parte actora es directo: desde el día en que inició la vigencia de la obligación quedó sujeta a un mandato que le exige </w:t>
      </w:r>
      <w:r>
        <w:rPr>
          <w:rFonts w:ascii="Arial" w:hAnsi="Arial"/>
          <w:b/>
          <w:i w:val="0"/>
          <w:sz w:val="28"/>
        </w:rPr>
        <w:t>[OBLIGACIÓN CONCRETA QUE LA DISPOSICIÓN IMPONE]</w:t>
      </w:r>
      <w:r>
        <w:rPr>
          <w:rFonts w:ascii="Arial" w:hAnsi="Arial"/>
          <w:b w:val="0"/>
          <w:i w:val="0"/>
          <w:sz w:val="28"/>
        </w:rPr>
        <w:t>, con las consecuencias que la propia disposición y la legislación aplicable atribuyen a su incumplimiento. Ese perjuicio nació el día que señaló el transitorio y no antes, porque antes no había obligación alguna; y desde ese día, no desde la publicación del acuerdo modificatorio, corre el plazo para acudir a esta Sala Regional.</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Conviene partir de la naturaleza de las normas generales que se impugnan sin acto de aplicación. La doctrina procesal explica que las normas autoaplicativas, con el solo hecho de su promulgación y entrada en vigor, modifican las relaciones jurídicas que existen entre el destinatario de la norma y el Estado, sin necesidad de un acto posterior que las individualice.</w:t>
      </w:r>
      <w:r>
        <w:rPr>
          <w:rFonts w:ascii="Arial" w:hAnsi="Arial"/>
          <w:vertAlign w:val="superscript"/>
        </w:rPr>
        <w:t>1</w:t>
      </w:r>
      <w:r>
        <w:rPr>
          <w:rFonts w:ascii="Arial" w:hAnsi="Arial"/>
          <w:b w:val="0"/>
          <w:i w:val="0"/>
          <w:sz w:val="28"/>
        </w:rPr>
        <w:t xml:space="preserve"> La afectación es, pues, simultánea a la vigencia: donde no hay vigencia todavía, no hay afectación que reclamar.</w:t>
      </w:r>
    </w:p>
    <w:p>
      <w:pPr>
        <w:spacing w:line="360" w:lineRule="auto"/>
        <w:jc w:val="both"/>
      </w:pPr>
      <w:r>
        <w:rPr>
          <w:rFonts w:ascii="Arial" w:hAnsi="Arial"/>
          <w:b w:val="0"/>
          <w:i w:val="0"/>
          <w:sz w:val="28"/>
        </w:rPr>
        <w:t>De ahí que la misma doctrina, al estudiar la procedencia del juicio contra normas generales, precise que la ley autoaplicativa es la que obliga desde el inicio de su vigencia y que, por ello, el particular cuenta con dos oportunidades para combatirla: la primera, desde el momento en que entra en vigor; la segunda, con motivo del primer acto de aplicación.</w:t>
      </w:r>
      <w:r>
        <w:rPr>
          <w:rFonts w:ascii="Arial" w:hAnsi="Arial"/>
          <w:vertAlign w:val="superscript"/>
        </w:rPr>
        <w:t>2</w:t>
      </w:r>
      <w:r>
        <w:rPr>
          <w:rFonts w:ascii="Arial" w:hAnsi="Arial"/>
          <w:b w:val="0"/>
          <w:i w:val="0"/>
          <w:sz w:val="28"/>
        </w:rPr>
        <w:t xml:space="preserve"> El punto de partida de la primera oportunidad no es la publicación de la norma, sino el inicio de su vigencia, que son cosas distintas cuando la propia norma difiere la segunda.</w:t>
      </w:r>
    </w:p>
    <w:p>
      <w:pPr>
        <w:spacing w:line="360" w:lineRule="auto"/>
        <w:jc w:val="both"/>
      </w:pPr>
      <w:r>
        <w:rPr>
          <w:rFonts w:ascii="Arial" w:hAnsi="Arial"/>
          <w:b w:val="0"/>
          <w:i w:val="0"/>
          <w:sz w:val="28"/>
        </w:rPr>
        <w:t>Esa diferencia tiene nombre técnico. El periodo comprendido entre la publicación de una norma y su entrada en vigor se denomina vacatio legis y se caracteriza precisamente por la no obligatoriedad de la norma durante ese lapso.</w:t>
      </w:r>
      <w:r>
        <w:rPr>
          <w:rFonts w:ascii="Arial" w:hAnsi="Arial"/>
          <w:vertAlign w:val="superscript"/>
        </w:rPr>
        <w:t>3</w:t>
      </w:r>
      <w:r>
        <w:rPr>
          <w:rFonts w:ascii="Arial" w:hAnsi="Arial"/>
          <w:b w:val="0"/>
          <w:i w:val="0"/>
          <w:sz w:val="28"/>
        </w:rPr>
        <w:t xml:space="preserve"> Una norma en vacatio legis existe, es conocida y puede leerse, pero no manda todavía; su destinatario no puede infringirla ni ser sancionado por ella, y tampoco puede resentir el perjuicio que abre la puerta del juicio.</w:t>
      </w:r>
    </w:p>
    <w:p>
      <w:pPr>
        <w:spacing w:line="360" w:lineRule="auto"/>
        <w:jc w:val="both"/>
      </w:pPr>
      <w:r>
        <w:rPr>
          <w:rFonts w:ascii="Arial" w:hAnsi="Arial"/>
          <w:b w:val="0"/>
          <w:i w:val="0"/>
          <w:sz w:val="28"/>
        </w:rPr>
        <w:t>El derecho positivo recoge esa regla desde el Código Civil Federal, cuyo artículo 4o. dispone que si la ley, reglamento, circular o disposición de observancia general fija el día en que debe comenzar a regir, obliga desde ese día, con tal de que su publicación haya sido anterior; la doctrina sobre interpretación destaca ese precepto como el supuesto típico de vigencia diferida.</w:t>
      </w:r>
      <w:r>
        <w:rPr>
          <w:rFonts w:ascii="Arial" w:hAnsi="Arial"/>
          <w:vertAlign w:val="superscript"/>
        </w:rPr>
        <w:t>4</w:t>
      </w:r>
      <w:r>
        <w:rPr>
          <w:rFonts w:ascii="Arial" w:hAnsi="Arial"/>
          <w:b w:val="0"/>
          <w:i w:val="0"/>
          <w:sz w:val="28"/>
        </w:rPr>
        <w:t xml:space="preserve"> Cuando el transitorio señala un día de inicio, ese día, y no el de la publicación, es el que abre la obligatoriedad.</w:t>
      </w:r>
    </w:p>
    <w:p>
      <w:pPr>
        <w:spacing w:line="360" w:lineRule="auto"/>
        <w:jc w:val="both"/>
      </w:pPr>
      <w:r>
        <w:rPr>
          <w:rFonts w:ascii="Arial" w:hAnsi="Arial"/>
          <w:b w:val="0"/>
          <w:i w:val="0"/>
          <w:sz w:val="28"/>
        </w:rPr>
        <w:t>Sobre esa base debe leerse la Ley Federal de Procedimiento Contencioso Administrativo. Su artículo 2o., párrafo segundo, establece que el juicio procede contra los actos administrativos, decretos y acuerdos de carácter general, diversos a los reglamentos, cuando sean autoaplicativos o cuando la persona interesada los controvierta en unión del primer acto de aplicación.</w:t>
      </w:r>
    </w:p>
    <w:p>
      <w:pPr>
        <w:spacing w:line="360" w:lineRule="auto"/>
        <w:jc w:val="both"/>
      </w:pPr>
      <w:r>
        <w:rPr>
          <w:rFonts w:ascii="Arial" w:hAnsi="Arial"/>
          <w:b w:val="0"/>
          <w:i w:val="0"/>
          <w:sz w:val="28"/>
        </w:rPr>
        <w:t>Y su artículo 13, fracción I, inciso b), dispone que la demanda se presentará dentro de los treinta días siguientes a aquel en que haya iniciado su vigencia el decreto, acuerdo, acto o resolución administrativa de carácter general impugnada, cuando sea autoaplicativa.</w:t>
      </w:r>
    </w:p>
    <w:p>
      <w:pPr>
        <w:spacing w:line="360" w:lineRule="auto"/>
        <w:jc w:val="both"/>
      </w:pPr>
      <w:r>
        <w:rPr>
          <w:rFonts w:ascii="Arial" w:hAnsi="Arial"/>
          <w:b w:val="0"/>
          <w:i w:val="0"/>
          <w:sz w:val="28"/>
        </w:rPr>
        <w:t xml:space="preserve">El legislador eligió con cuidado el verbo: el plazo corre desde que la disposición </w:t>
      </w:r>
      <w:r>
        <w:rPr>
          <w:rFonts w:ascii="Arial" w:hAnsi="Arial"/>
          <w:b w:val="0"/>
          <w:i/>
          <w:sz w:val="28"/>
        </w:rPr>
        <w:t>«haya iniciado su vigencia»</w:t>
      </w:r>
      <w:r>
        <w:rPr>
          <w:rFonts w:ascii="Arial" w:hAnsi="Arial"/>
          <w:b w:val="0"/>
          <w:i w:val="0"/>
          <w:sz w:val="28"/>
        </w:rPr>
        <w:t>, no desde que se publique. Cuando publicación y vigencia coinciden, la distinción es irrelevante; cuando la propia disposición, o el acuerdo que modifica su transitorio, separa una de otra y difiere el inicio de la obligación, la distinción lo es todo, porque el plazo de treinta días sólo puede correr a partir del día en que la norma comienza a obligar a su destinatario.</w:t>
      </w:r>
    </w:p>
    <w:p>
      <w:pPr>
        <w:spacing w:line="360" w:lineRule="auto"/>
        <w:jc w:val="both"/>
      </w:pPr>
      <w:r>
        <w:rPr>
          <w:rFonts w:ascii="Arial" w:hAnsi="Arial"/>
          <w:b w:val="0"/>
          <w:i w:val="0"/>
          <w:sz w:val="28"/>
        </w:rPr>
        <w:t>Ese es el sentido que el Poder Judicial de la Federación ha dado al precepto en la jurisprudencia PR.A.C.CS. J/6 A (12a.), sustentada por el Pleno Regional en Materias Administrativa y Civil de la Región Centro-Sur, con residencia en la Ciudad de México, registro digital 2032416, publicada en el Semanario Judicial de la Federación el viernes 10 de julio de 2026 y de aplicación obligatoria a partir del lunes 13 de julio de 2026.</w:t>
      </w:r>
    </w:p>
    <w:p>
      <w:pPr>
        <w:spacing w:line="360" w:lineRule="auto"/>
        <w:jc w:val="both"/>
      </w:pPr>
      <w:r>
        <w:rPr>
          <w:rFonts w:ascii="Arial" w:hAnsi="Arial"/>
          <w:b w:val="0"/>
          <w:i w:val="0"/>
          <w:sz w:val="28"/>
        </w:rPr>
        <w:t xml:space="preserve">El rubro de esa jurisprudencia es el siguiente: </w:t>
      </w:r>
      <w:r>
        <w:rPr>
          <w:rFonts w:ascii="Arial" w:hAnsi="Arial"/>
          <w:b w:val="0"/>
          <w:i/>
          <w:sz w:val="28"/>
        </w:rPr>
        <w:t>«MEDICIÓN DE AGUAS NACIONALES. MOMENTO A PARTIR DEL CUAL DEBE COMPUTARSE EL PLAZO PARA PROMOVER JUICIO CONTENCIOSO ADMINISTRATIVO FEDERAL CONTRA LAS REGLAS GENERALES RELATIVAS, LA NORMA MEXICANA NMX-AA-179-SCFI-2018 Y LAS DISPOSICIONES RELACIONADAS CON LA MODIFICACIÓN DEL ARTÍCULO SEGUNDO TRANSITORIO, QUE DIFIRIÓ EL INICIO DE LA OBLIGACIÓN ESTABLECIDA EN LAS PROPIAS REGLAS, EN SU CARÁCTER AUTOAPLICATIVO»</w:t>
      </w:r>
      <w:r>
        <w:rPr>
          <w:rFonts w:ascii="Arial" w:hAnsi="Arial"/>
          <w:b w:val="0"/>
          <w:i w:val="0"/>
          <w:sz w:val="28"/>
        </w:rPr>
        <w:t>.</w:t>
      </w:r>
    </w:p>
    <w:p>
      <w:pPr>
        <w:spacing w:line="360" w:lineRule="auto"/>
        <w:jc w:val="both"/>
      </w:pPr>
      <w:r>
        <w:rPr>
          <w:rFonts w:ascii="Arial" w:hAnsi="Arial"/>
          <w:b w:val="0"/>
          <w:i w:val="0"/>
          <w:sz w:val="28"/>
        </w:rPr>
        <w:t xml:space="preserve">Su criterio jurídico es el siguiente: </w:t>
      </w:r>
      <w:r>
        <w:rPr>
          <w:rFonts w:ascii="Arial" w:hAnsi="Arial"/>
          <w:b w:val="0"/>
          <w:i/>
          <w:sz w:val="28"/>
        </w:rPr>
        <w:t>«El plazo de 30 días para instar juicio contencioso administrativo federal contra el sistema normativo referido cuando no se promueve con motivo de un acto concreto de aplicación, debe contarse a partir de la fecha establecida en el artículo segundo transitorio, modificado mediante acuerdo publicado el 27 de diciembre de 2022»</w:t>
      </w:r>
      <w:r>
        <w:rPr>
          <w:rFonts w:ascii="Arial" w:hAnsi="Arial"/>
          <w:b w:val="0"/>
          <w:i w:val="0"/>
          <w:sz w:val="28"/>
        </w:rPr>
        <w:t>.</w:t>
      </w:r>
    </w:p>
    <w:p>
      <w:pPr>
        <w:spacing w:line="360" w:lineRule="auto"/>
        <w:jc w:val="both"/>
      </w:pPr>
      <w:r>
        <w:rPr>
          <w:rFonts w:ascii="Arial" w:hAnsi="Arial"/>
          <w:b w:val="0"/>
          <w:i w:val="0"/>
          <w:sz w:val="28"/>
        </w:rPr>
        <w:t>La justificación de esa jurisprudencia es directamente trasladable a este asunto. El Pleno Regional sostuvo que las Reglas Generales de medición de aguas nacionales, la norma mexicana a la que remiten y los acuerdos que modificaron sucesivamente su artículo segundo transitorio son impugnables como un sistema normativo, y que su impugnación, cuando se reclama la sola entrada en vigor, debe hacerse a partir del momento en que inicia la obligación de ajustarse al nuevo método de medición.</w:t>
      </w:r>
    </w:p>
    <w:p>
      <w:pPr>
        <w:spacing w:line="360" w:lineRule="auto"/>
        <w:jc w:val="both"/>
      </w:pPr>
      <w:r>
        <w:rPr>
          <w:rFonts w:ascii="Arial" w:hAnsi="Arial"/>
          <w:b w:val="0"/>
          <w:i w:val="0"/>
          <w:sz w:val="28"/>
        </w:rPr>
        <w:t xml:space="preserve">Añadió que, mientras ello no suceda, </w:t>
      </w:r>
      <w:r>
        <w:rPr>
          <w:rFonts w:ascii="Arial" w:hAnsi="Arial"/>
          <w:b w:val="0"/>
          <w:i/>
          <w:sz w:val="28"/>
        </w:rPr>
        <w:t>«subsiste una vacatio legis, durante cuyo plazo impide válidamente judicializar dichas disposiciones generales»</w:t>
      </w:r>
      <w:r>
        <w:rPr>
          <w:rFonts w:ascii="Arial" w:hAnsi="Arial"/>
          <w:b w:val="0"/>
          <w:i w:val="0"/>
          <w:sz w:val="28"/>
        </w:rPr>
        <w:t>. La jurisprudencia resolvió, además, la duda exacta que aquí se plantea: uno de los tribunales contendientes contaba el plazo desde la publicación del acuerdo que reformó el transitorio, y el otro desde la fecha que el transitorio reformado señalaba como inicio de la obligación. El Pleno Regional se decantó por la segunda lectura.</w:t>
      </w:r>
    </w:p>
    <w:p>
      <w:pPr>
        <w:spacing w:line="360" w:lineRule="auto"/>
        <w:jc w:val="both"/>
      </w:pPr>
      <w:r>
        <w:rPr>
          <w:rFonts w:ascii="Arial" w:hAnsi="Arial"/>
          <w:b w:val="0"/>
          <w:i w:val="0"/>
          <w:sz w:val="28"/>
        </w:rPr>
        <w:t xml:space="preserve">Conforme al artículo 217 de la Ley de Amparo, esa jurisprudencia obliga a los tribunales administrativos federales de la región Centro-Sur, a la que pertenece esta Sala Regional, con residencia en </w:t>
      </w:r>
      <w:r>
        <w:rPr>
          <w:rFonts w:ascii="Arial" w:hAnsi="Arial"/>
          <w:b/>
          <w:i w:val="0"/>
          <w:sz w:val="28"/>
        </w:rPr>
        <w:t>[CIRCUITO O ENTIDAD EN QUE RESIDE LA SALA REGIONAL]</w:t>
      </w:r>
      <w:r>
        <w:rPr>
          <w:rFonts w:ascii="Arial" w:hAnsi="Arial"/>
          <w:b w:val="0"/>
          <w:i w:val="0"/>
          <w:sz w:val="28"/>
        </w:rPr>
        <w:t>; el Décimo Cuarto Circuito, del que provienen los criterios contendientes, forma parte de esa región.</w:t>
      </w:r>
    </w:p>
    <w:p>
      <w:pPr>
        <w:spacing w:line="360" w:lineRule="auto"/>
        <w:jc w:val="both"/>
      </w:pPr>
      <w:r>
        <w:rPr>
          <w:rFonts w:ascii="Arial" w:hAnsi="Arial"/>
          <w:b w:val="0"/>
          <w:i w:val="0"/>
          <w:sz w:val="28"/>
        </w:rPr>
        <w:t>Aun para una Sala Regional situada fuera de esa región, el criterio conserva pleno valor orientador, porque no descansa en una particularidad de la materia de aguas, sino en la estructura común de toda disposición general que difiere el inicio de su obligación mediante un artículo transitorio: el mismo esquema que emplean las reglas generales de la Comisión Nacional del Agua y las del Servicio de Administración Tributaria cuando posponen la exigibilidad de una nueva carga.</w:t>
      </w:r>
    </w:p>
    <w:p>
      <w:pPr>
        <w:spacing w:line="360" w:lineRule="auto"/>
        <w:jc w:val="both"/>
      </w:pPr>
      <w:r>
        <w:rPr>
          <w:rFonts w:ascii="Arial" w:hAnsi="Arial"/>
          <w:b/>
          <w:sz w:val="28"/>
        </w:rPr>
        <w:t>IV. Aplicación al caso concreto y refutación de la causal de improcedencia.</w:t>
      </w:r>
    </w:p>
    <w:p>
      <w:pPr>
        <w:spacing w:line="360" w:lineRule="auto"/>
        <w:jc w:val="both"/>
      </w:pPr>
      <w:r>
        <w:rPr>
          <w:rFonts w:ascii="Arial" w:hAnsi="Arial"/>
          <w:b w:val="0"/>
          <w:i w:val="0"/>
          <w:sz w:val="28"/>
        </w:rPr>
        <w:t xml:space="preserve">Los hechos encuadran con exactitud en la premisa expuesta. </w:t>
      </w:r>
      <w:r>
        <w:rPr>
          <w:rFonts w:ascii="Arial" w:hAnsi="Arial"/>
          <w:b/>
          <w:i w:val="0"/>
          <w:sz w:val="28"/>
        </w:rPr>
        <w:t>[DENOMINACIÓN DE LA DISPOSICIÓN GENERAL IMPUGNADA]</w:t>
      </w:r>
      <w:r>
        <w:rPr>
          <w:rFonts w:ascii="Arial" w:hAnsi="Arial"/>
          <w:b w:val="0"/>
          <w:i w:val="0"/>
          <w:sz w:val="28"/>
        </w:rPr>
        <w:t xml:space="preserve"> se publicó el </w:t>
      </w:r>
      <w:r>
        <w:rPr>
          <w:rFonts w:ascii="Arial" w:hAnsi="Arial"/>
          <w:b/>
          <w:i w:val="0"/>
          <w:sz w:val="28"/>
        </w:rPr>
        <w:t>[FECHA DE PUBLICACIÓN DE LA DISPOSICIÓN GENERAL IMPUGNADA]</w:t>
      </w:r>
      <w:r>
        <w:rPr>
          <w:rFonts w:ascii="Arial" w:hAnsi="Arial"/>
          <w:b w:val="0"/>
          <w:i w:val="0"/>
          <w:sz w:val="28"/>
        </w:rPr>
        <w:t xml:space="preserve">; su artículo transitorio fue modificado por el acuerdo publicado el </w:t>
      </w:r>
      <w:r>
        <w:rPr>
          <w:rFonts w:ascii="Arial" w:hAnsi="Arial"/>
          <w:b/>
          <w:i w:val="0"/>
          <w:sz w:val="28"/>
        </w:rPr>
        <w:t>[FECHA DE PUBLICACIÓN DEL ACUERDO QUE MODIFICÓ EL ARTÍCULO TRANSITORIO]</w:t>
      </w:r>
      <w:r>
        <w:rPr>
          <w:rFonts w:ascii="Arial" w:hAnsi="Arial"/>
          <w:b w:val="0"/>
          <w:i w:val="0"/>
          <w:sz w:val="28"/>
        </w:rPr>
        <w:t xml:space="preserve">, y ese transitorio, en su redacción vigente, fijó como inicio de la obligación el </w:t>
      </w:r>
      <w:r>
        <w:rPr>
          <w:rFonts w:ascii="Arial" w:hAnsi="Arial"/>
          <w:b/>
          <w:i w:val="0"/>
          <w:sz w:val="28"/>
        </w:rPr>
        <w:t>[FECHA DE INICIO DE VIGENCIA DE LA OBLIGACIÓN FIJADA EN EL ARTÍCULO TRANSITORIO]</w:t>
      </w:r>
      <w:r>
        <w:rPr>
          <w:rFonts w:ascii="Arial" w:hAnsi="Arial"/>
          <w:b w:val="0"/>
          <w:i w:val="0"/>
          <w:sz w:val="28"/>
        </w:rPr>
        <w:t>. Hasta ese día la parte actora no estaba obligada a nada; a partir de ese día quedó sujeta al mandato que ahora impugna.</w:t>
      </w:r>
    </w:p>
    <w:p>
      <w:pPr>
        <w:spacing w:line="360" w:lineRule="auto"/>
        <w:jc w:val="both"/>
      </w:pPr>
      <w:r>
        <w:rPr>
          <w:rFonts w:ascii="Arial" w:hAnsi="Arial"/>
          <w:b w:val="0"/>
          <w:i w:val="0"/>
          <w:sz w:val="28"/>
        </w:rPr>
        <w:t xml:space="preserve">En consecuencia, el plazo de treinta días del artículo 13, fracción I, inciso b), de la Ley Federal de Procedimiento Contencioso Administrativo comenzó a correr el día hábil siguiente al inicio de la vigencia de la obligación y concluyó el </w:t>
      </w:r>
      <w:r>
        <w:rPr>
          <w:rFonts w:ascii="Arial" w:hAnsi="Arial"/>
          <w:b/>
          <w:i w:val="0"/>
          <w:sz w:val="28"/>
        </w:rPr>
        <w:t>[ÚLTIMO DÍA DEL PLAZO DE TREINTA DÍAS]</w:t>
      </w:r>
      <w:r>
        <w:rPr>
          <w:rFonts w:ascii="Arial" w:hAnsi="Arial"/>
          <w:b w:val="0"/>
          <w:i w:val="0"/>
          <w:sz w:val="28"/>
        </w:rPr>
        <w:t xml:space="preserve">, descontando sábados, domingos y los días inhábiles conforme al calendario de este Tribunal, a saber, </w:t>
      </w:r>
      <w:r>
        <w:rPr>
          <w:rFonts w:ascii="Arial" w:hAnsi="Arial"/>
          <w:b/>
          <w:i w:val="0"/>
          <w:sz w:val="28"/>
        </w:rPr>
        <w:t>[DÍAS INHÁBILES DESCONTADOS]</w:t>
      </w:r>
      <w:r>
        <w:rPr>
          <w:rFonts w:ascii="Arial" w:hAnsi="Arial"/>
          <w:b w:val="0"/>
          <w:i w:val="0"/>
          <w:sz w:val="28"/>
        </w:rPr>
        <w:t xml:space="preserve">. La demanda se presentó el </w:t>
      </w:r>
      <w:r>
        <w:rPr>
          <w:rFonts w:ascii="Arial" w:hAnsi="Arial"/>
          <w:b/>
          <w:i w:val="0"/>
          <w:sz w:val="28"/>
        </w:rPr>
        <w:t>[FECHA DE PRESENTACIÓN DE LA DEMANDA]</w:t>
      </w:r>
      <w:r>
        <w:rPr>
          <w:rFonts w:ascii="Arial" w:hAnsi="Arial"/>
          <w:b w:val="0"/>
          <w:i w:val="0"/>
          <w:sz w:val="28"/>
        </w:rPr>
        <w:t>, esto es, dentro del plazo legal.</w:t>
      </w:r>
    </w:p>
    <w:p>
      <w:pPr>
        <w:spacing w:line="360" w:lineRule="auto"/>
        <w:jc w:val="both"/>
      </w:pPr>
      <w:r>
        <w:rPr>
          <w:rFonts w:ascii="Arial" w:hAnsi="Arial"/>
          <w:b w:val="0"/>
          <w:i w:val="0"/>
          <w:sz w:val="28"/>
        </w:rPr>
        <w:t>La subsunción es inmediata: la disposición impugnada es una norma general autoaplicativa; su vigencia fue diferida por su propio transitorio; el plazo para impugnarla con motivo de su sola vigencia corre desde el inicio de ésta; la demanda se presentó dentro de los treinta días siguientes a ese inicio; luego la demanda es oportuna y el juicio procedente conforme a los artículos 2o., párrafo segundo, y 13, fracción I, inciso b), de la ley de la materia y a la jurisprudencia PR.A.C.CS. J/6 A (12a.).</w:t>
      </w:r>
    </w:p>
    <w:p>
      <w:pPr>
        <w:spacing w:line="360" w:lineRule="auto"/>
        <w:jc w:val="both"/>
      </w:pPr>
      <w:r>
        <w:rPr>
          <w:rFonts w:ascii="Arial" w:hAnsi="Arial"/>
          <w:b w:val="0"/>
          <w:i w:val="0"/>
          <w:sz w:val="28"/>
        </w:rPr>
        <w:t>Se anticipa que la autoridad demandada invocará la causal de improcedencia del artículo 8 de la Ley Federal de Procedimiento Contencioso Administrativo relativa a los actos consentidos, sosteniendo que el plazo debió contarse desde la publicación de la disposición o, en su defecto, desde la publicación del acuerdo que modificó el transitorio, de modo que, al presentarse la demanda después de treinta días de esas publicaciones, la parte actora consintió la norma. Ese razonamiento es lógicamente inválido por tres razones independientes.</w:t>
      </w:r>
    </w:p>
    <w:p>
      <w:pPr>
        <w:spacing w:line="360" w:lineRule="auto"/>
        <w:jc w:val="both"/>
      </w:pPr>
      <w:r>
        <w:rPr>
          <w:rFonts w:ascii="Arial" w:hAnsi="Arial"/>
          <w:b w:val="0"/>
          <w:i w:val="0"/>
          <w:sz w:val="28"/>
        </w:rPr>
        <w:t>En primer lugar, incurre en la falacia de ambigüedad, que se produce cuando en un mismo argumento se emplean palabras o frases en más de un sentido.</w:t>
      </w:r>
      <w:r>
        <w:rPr>
          <w:rFonts w:ascii="Arial" w:hAnsi="Arial"/>
          <w:vertAlign w:val="superscript"/>
        </w:rPr>
        <w:t>5</w:t>
      </w:r>
      <w:r>
        <w:rPr>
          <w:rFonts w:ascii="Arial" w:hAnsi="Arial"/>
          <w:b w:val="0"/>
          <w:i w:val="0"/>
          <w:sz w:val="28"/>
        </w:rPr>
        <w:t xml:space="preserve"> La autoridad usa </w:t>
      </w:r>
      <w:r>
        <w:rPr>
          <w:rFonts w:ascii="Arial" w:hAnsi="Arial"/>
          <w:b w:val="0"/>
          <w:i/>
          <w:sz w:val="28"/>
        </w:rPr>
        <w:t>«entrada en vigor»</w:t>
      </w:r>
      <w:r>
        <w:rPr>
          <w:rFonts w:ascii="Arial" w:hAnsi="Arial"/>
          <w:b w:val="0"/>
          <w:i w:val="0"/>
          <w:sz w:val="28"/>
        </w:rPr>
        <w:t xml:space="preserve"> para designar el día en que se publicó el acuerdo modificatorio, y luego extrae de ese uso la consecuencia que la ley reserva al día en que la obligación comenzó a regir. Pero el acuerdo modificatorio entró en vigor para posponer una obligación; la obligación misma entró en vigor el día que el transitorio señaló. Confundir ambas vigencias es hablar de dos cosas con una sola palabra.</w:t>
      </w:r>
    </w:p>
    <w:p>
      <w:pPr>
        <w:spacing w:line="360" w:lineRule="auto"/>
        <w:jc w:val="both"/>
      </w:pPr>
      <w:r>
        <w:rPr>
          <w:rFonts w:ascii="Arial" w:hAnsi="Arial"/>
          <w:b w:val="0"/>
          <w:i w:val="0"/>
          <w:sz w:val="28"/>
        </w:rPr>
        <w:t>En segundo lugar, el argumento comete la falacia del secundum quid, que consiste en aplicar rígidamente una regla como si no existieran excepciones, olvidando que en el caso particular puede darse una circunstancia especial que haga la regla inaplicable.</w:t>
      </w:r>
      <w:r>
        <w:rPr>
          <w:rFonts w:ascii="Arial" w:hAnsi="Arial"/>
          <w:vertAlign w:val="superscript"/>
        </w:rPr>
        <w:t>6</w:t>
      </w:r>
    </w:p>
    <w:p>
      <w:pPr>
        <w:spacing w:line="360" w:lineRule="auto"/>
        <w:jc w:val="both"/>
      </w:pPr>
      <w:r>
        <w:rPr>
          <w:rFonts w:ascii="Arial" w:hAnsi="Arial"/>
          <w:b w:val="0"/>
          <w:i w:val="0"/>
          <w:sz w:val="28"/>
        </w:rPr>
        <w:t>La regla práctica que invoca la autoridad, según la cual una norma general se impugna dentro de los treinta días siguientes a su publicación, sólo es verdadera cuando publicación y vigencia coinciden, porque la ley cuenta el plazo desde el inicio de la vigencia; cuando la disposición fija un día posterior de inicio, esa circunstancia hace inaplicable la regla y desplaza el cómputo al día en que la norma empezó a obligar.</w:t>
      </w:r>
    </w:p>
    <w:p>
      <w:pPr>
        <w:spacing w:line="360" w:lineRule="auto"/>
        <w:jc w:val="both"/>
      </w:pPr>
      <w:r>
        <w:rPr>
          <w:rFonts w:ascii="Arial" w:hAnsi="Arial"/>
          <w:b w:val="0"/>
          <w:i w:val="0"/>
          <w:sz w:val="28"/>
        </w:rPr>
        <w:t>En tercer lugar, la postura de la autoridad conduce a un resultado absurdo que revela el error: si el plazo corriera desde la publicación del acuerdo que difirió la obligación, el particular tendría que demandar la nulidad de una carga que todavía no le es exigible, y la propia jurisprudencia del Pleno Regional explica que, mientras subsiste la vacatio legis, no es válido judicializar la disposición. La autoridad pretende, entonces, que el plazo se agote precisamente durante el periodo en que el juicio no puede promoverse, lo que convierte el derecho de acción en una trampa de calendario.</w:t>
      </w:r>
    </w:p>
    <w:p>
      <w:pPr>
        <w:spacing w:line="360" w:lineRule="auto"/>
        <w:jc w:val="both"/>
      </w:pPr>
      <w:r>
        <w:rPr>
          <w:rFonts w:ascii="Arial" w:hAnsi="Arial"/>
          <w:b w:val="0"/>
          <w:i w:val="0"/>
          <w:sz w:val="28"/>
        </w:rPr>
        <w:t>Tampoco puede sostenerse que hubo consentimiento tácito. El artículo 8 de la Ley Federal de Procedimiento Contencioso Administrativo entiende por actos consentidos aquellos contra los que no se promovió el juicio en los plazos que la propia ley señala; el consentimiento es, pues, una omisión del interesado frente a un plazo que efectivamente corrió. Pero sólo se omite lo que se pudo hacer: no hay omisión imputable a quien, durante la vacatio legis, carecía de una obligación que reclamar y de un perjuicio que acreditar, y aquí el plazo no comenzó sino hasta el inicio de la vigencia.</w:t>
      </w:r>
    </w:p>
    <w:p>
      <w:pPr>
        <w:spacing w:line="360" w:lineRule="auto"/>
        <w:jc w:val="both"/>
      </w:pPr>
      <w:r>
        <w:rPr>
          <w:rFonts w:ascii="Arial" w:hAnsi="Arial"/>
          <w:b w:val="0"/>
          <w:i w:val="0"/>
          <w:sz w:val="28"/>
        </w:rPr>
        <w:t>A ello se suma el mandato del artículo 17, párrafo segundo, de la Constitución Política de los Estados Unidos Mexicanos, conforme al cual toda persona tiene derecho a que se le administre justicia en los plazos y términos que fijen las leyes. Entre dos lecturas posibles del artículo 13, fracción I, inciso b), la que cuenta el plazo desde la vigencia real de la obligación es la única que respeta el texto legal y la que permite a la persona destinataria acudir al juicio en el momento en que la norma comienza a afectarla; la lectura contraria cierra el acceso a la jurisdicción antes de que se abra la afectación.</w:t>
      </w:r>
    </w:p>
    <w:p>
      <w:pPr>
        <w:spacing w:line="360" w:lineRule="auto"/>
        <w:jc w:val="both"/>
      </w:pPr>
      <w:r>
        <w:rPr>
          <w:rFonts w:ascii="Arial" w:hAnsi="Arial"/>
          <w:b w:val="0"/>
          <w:i w:val="0"/>
          <w:sz w:val="28"/>
        </w:rPr>
        <w:t xml:space="preserve">Subsidiariamente, y sólo para el caso de que esa Sala Regional estimara que el cómputo debía iniciar en una fecha distinta, se hace notar que la parte actora impugna la disposición también con motivo de </w:t>
      </w:r>
      <w:r>
        <w:rPr>
          <w:rFonts w:ascii="Arial" w:hAnsi="Arial"/>
          <w:b/>
          <w:i w:val="0"/>
          <w:sz w:val="28"/>
        </w:rPr>
        <w:t>[PRIMER ACTO DE APLICACIÓN, SI LO HUBO, O ELIMINAR ESTE PÁRRAFO]</w:t>
      </w:r>
      <w:r>
        <w:rPr>
          <w:rFonts w:ascii="Arial" w:hAnsi="Arial"/>
          <w:b w:val="0"/>
          <w:i w:val="0"/>
          <w:sz w:val="28"/>
        </w:rPr>
        <w:t>, de modo que, en términos del artículo 2o., párrafo segundo, de la ley de la materia, la demanda sería igualmente oportuna en unión del primer acto de aplicación, cuyo plazo corre desde que surtió efectos su notificación.</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la disposición impugnada es una norma general autoaplicativa cuya obligación comenzó a regir el día que fijó su artículo transitorio modificado, y no el día en que se publicó el acuerdo que lo modificó; el plazo de treinta días del artículo 13, fracción I, inciso b), de la Ley Federal de Procedimiento Contencioso Administrativo corre desde ese inicio de vigencia, como lo establece la jurisprudencia PR.A.C.CS. J/6 A (12a.); y la demanda se presentó dentro de ese plazo, por lo que no existe consentimiento ni causal alguna de improcedencia.</w:t>
      </w:r>
    </w:p>
    <w:p>
      <w:pPr>
        <w:spacing w:line="360" w:lineRule="auto"/>
        <w:jc w:val="both"/>
      </w:pPr>
      <w:r>
        <w:rPr>
          <w:rFonts w:ascii="Arial" w:hAnsi="Arial"/>
          <w:b w:val="0"/>
          <w:i w:val="0"/>
          <w:sz w:val="28"/>
        </w:rPr>
        <w:t xml:space="preserve">Por lo expuesto, se solicita a esa </w:t>
      </w:r>
      <w:r>
        <w:rPr>
          <w:rFonts w:ascii="Arial" w:hAnsi="Arial"/>
          <w:b/>
          <w:i w:val="0"/>
          <w:sz w:val="28"/>
        </w:rPr>
        <w:t>[SALA REGIONAL DEL TRIBUNAL FEDERAL DE JUSTICIA ADMINISTRATIVA]</w:t>
      </w:r>
      <w:r>
        <w:rPr>
          <w:rFonts w:ascii="Arial" w:hAnsi="Arial"/>
          <w:b w:val="0"/>
          <w:i w:val="0"/>
          <w:sz w:val="28"/>
        </w:rPr>
        <w:t xml:space="preserve"> tener por presentada en tiempo la demanda, admitirla a trámite con fundamento en los artículos 2o., párrafo segundo, y 13, fracción I, inciso b), de la Ley Federal de Procedimiento Contencioso Administrativo y, en su oportunidad, desestimar la causal de improcedencia por consentimiento que llegue a invocar la autoridad demandada, para entrar al estudio de fondo de los conceptos de impugnación que se formulan contra </w:t>
      </w:r>
      <w:r>
        <w:rPr>
          <w:rFonts w:ascii="Arial" w:hAnsi="Arial"/>
          <w:b/>
          <w:i w:val="0"/>
          <w:sz w:val="28"/>
        </w:rPr>
        <w:t>[DENOMINACIÓN DE LA DISPOSICIÓN GENERAL IMPUGNADA]</w:t>
      </w:r>
      <w:r>
        <w:rPr>
          <w:rFonts w:ascii="Arial" w:hAnsi="Arial"/>
          <w:b w:val="0"/>
          <w:i w:val="0"/>
          <w:sz w:val="28"/>
        </w:rPr>
        <w:t>.</w:t>
      </w:r>
    </w:p>
    <w:p>
      <w:pPr>
        <w:spacing w:line="360" w:lineRule="auto"/>
        <w:jc w:val="both"/>
      </w:pPr>
      <w:r>
        <w:rPr>
          <w:rFonts w:ascii="Arial" w:hAnsi="Arial"/>
          <w:b w:val="0"/>
          <w:i w:val="0"/>
          <w:sz w:val="28"/>
        </w:rPr>
        <w:t>Se pide, además, que al pronunciarse sobre la oportunidad la Sala tenga en cuenta que el criterio del Pleno Regional resolvió una contradicción precisamente sobre el punto de partida del cómputo, de manera que cualquier duda sobre la fecha de inicio del plazo ya fue despejada en sede jurisdiccional a favor del día en que la obligación entró en vigor.</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1473.</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CARRANCO ZÚÑIGA, Joel, </w:t>
      </w:r>
      <w:r>
        <w:rPr>
          <w:rFonts w:ascii="Arial" w:hAnsi="Arial"/>
          <w:i/>
          <w:sz w:val="20"/>
        </w:rPr>
        <w:t>Juicio de amparo. Procedencia y sobreseimiento</w:t>
      </w:r>
      <w:r>
        <w:rPr>
          <w:rFonts w:ascii="Arial" w:hAnsi="Arial"/>
          <w:i w:val="0"/>
          <w:sz w:val="20"/>
        </w:rPr>
        <w:t>, 6ª ed., Porrúa, México, 2020, pp. 141-142.</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1459.</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EZQUIAGA GANUZAS, Francisco Javier, </w:t>
      </w:r>
      <w:r>
        <w:rPr>
          <w:rFonts w:ascii="Arial" w:hAnsi="Arial"/>
          <w:i/>
          <w:sz w:val="20"/>
        </w:rPr>
        <w:t>La motivación de las decisiones interpretativas electorales</w:t>
      </w:r>
      <w:r>
        <w:rPr>
          <w:rFonts w:ascii="Arial" w:hAnsi="Arial"/>
          <w:i w:val="0"/>
          <w:sz w:val="20"/>
        </w:rPr>
        <w:t>, Tribunal Electoral del Poder Judicial de la Federación, México, 2012, p. 85.</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7.</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GARCÍA DAMBORENEA, op. cit.</w:t>
      </w:r>
      <w:r>
        <w:rPr>
          <w:rFonts w:ascii="Arial" w:hAnsi="Arial"/>
          <w:i w:val="0"/>
          <w:sz w:val="20"/>
        </w:rPr>
        <w:t>, p. 84.</w:t>
      </w:r>
    </w:p>
    <w:p/>
    <w:p>
      <w:r>
        <w:rPr>
          <w:rFonts w:ascii="Arial" w:hAnsi="Arial"/>
          <w:b/>
          <w:sz w:val="22"/>
        </w:rPr>
        <w:t>BIBLIOGRAFÍA</w:t>
      </w:r>
    </w:p>
    <w:p>
      <w:pPr>
        <w:spacing w:after="60"/>
        <w:ind w:left="360" w:hanging="360"/>
        <w:jc w:val="both"/>
      </w:pPr>
      <w:r>
        <w:rPr>
          <w:rFonts w:ascii="Arial" w:hAnsi="Arial"/>
          <w:i w:val="0"/>
          <w:sz w:val="20"/>
        </w:rPr>
        <w:t xml:space="preserve">CARRANCO ZÚÑIGA, Joel, </w:t>
      </w:r>
      <w:r>
        <w:rPr>
          <w:rFonts w:ascii="Arial" w:hAnsi="Arial"/>
          <w:i/>
          <w:sz w:val="20"/>
        </w:rPr>
        <w:t>Juicio de amparo. Procedencia y sobreseimiento</w:t>
      </w:r>
      <w:r>
        <w:rPr>
          <w:rFonts w:ascii="Arial" w:hAnsi="Arial"/>
          <w:i w:val="0"/>
          <w:sz w:val="20"/>
        </w:rPr>
        <w:t>, 6ª ed., Porrúa, México, 2020.</w:t>
      </w:r>
    </w:p>
    <w:p>
      <w:pPr>
        <w:spacing w:after="60"/>
        <w:ind w:left="360" w:hanging="360"/>
        <w:jc w:val="both"/>
      </w:pPr>
      <w:r>
        <w:rPr>
          <w:rFonts w:ascii="Arial" w:hAnsi="Arial"/>
          <w:i w:val="0"/>
          <w:sz w:val="20"/>
        </w:rPr>
        <w:t xml:space="preserve">EZQUIAGA GANUZAS, Francisco Javier, </w:t>
      </w:r>
      <w:r>
        <w:rPr>
          <w:rFonts w:ascii="Arial" w:hAnsi="Arial"/>
          <w:i/>
          <w:sz w:val="20"/>
        </w:rPr>
        <w:t>La motivación de las decisiones interpretativas electorales</w:t>
      </w:r>
      <w:r>
        <w:rPr>
          <w:rFonts w:ascii="Arial" w:hAnsi="Arial"/>
          <w:i w:val="0"/>
          <w:sz w:val="20"/>
        </w:rPr>
        <w:t>, Tribunal Electoral del Poder Judicial de la Federación, México, 2012.</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